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1C" w:rsidRPr="005F0F1C" w:rsidRDefault="005F0F1C" w:rsidP="005F0F1C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bookmarkStart w:id="0" w:name="_Toc219871884"/>
      <w:r w:rsidRPr="005F0F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輔英科技大學附設醫院</w:t>
      </w:r>
    </w:p>
    <w:p w:rsidR="005F0F1C" w:rsidRDefault="005F0F1C" w:rsidP="005F0F1C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5F0F1C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對照藥品比較表</w:t>
      </w:r>
      <w:bookmarkEnd w:id="0"/>
    </w:p>
    <w:p w:rsidR="005F0F1C" w:rsidRPr="005F0F1C" w:rsidRDefault="005F0F1C" w:rsidP="005F0F1C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 w:hint="eastAsia"/>
          <w:b/>
          <w:color w:val="000000"/>
          <w:kern w:val="0"/>
          <w:sz w:val="16"/>
          <w:szCs w:val="16"/>
        </w:rPr>
      </w:pPr>
    </w:p>
    <w:tbl>
      <w:tblPr>
        <w:tblW w:w="47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9"/>
        <w:gridCol w:w="3352"/>
        <w:gridCol w:w="3515"/>
      </w:tblGrid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申請藥品資料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本院對照藥品資料</w:t>
            </w: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商品名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學名(主成份)</w:t>
            </w:r>
          </w:p>
        </w:tc>
        <w:tc>
          <w:tcPr>
            <w:tcW w:w="172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劑量規格（含量</w:t>
            </w:r>
            <w:r w:rsidRPr="005F0F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劑型）</w:t>
            </w:r>
          </w:p>
        </w:tc>
        <w:tc>
          <w:tcPr>
            <w:tcW w:w="17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lef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適應症</w:t>
            </w:r>
          </w:p>
        </w:tc>
        <w:tc>
          <w:tcPr>
            <w:tcW w:w="17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lef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作用機轉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用法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ind w:leftChars="-15" w:hangingChars="15" w:hanging="3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兒童劑量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副作用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49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健保價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121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藥費之外其他需考量之治療成本項目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129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具臨床意義之特殊族群製劑(兒童/孕婦/老人)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1076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臨床使用特殊性或不可替代性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C4388F">
        <w:trPr>
          <w:trHeight w:val="1705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szCs w:val="24"/>
              </w:rPr>
              <w:t>藥物動力學特性/生體可用率/生體相等性</w:t>
            </w:r>
            <w:r w:rsidRPr="005F0F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之差異情形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5F0F1C">
        <w:trPr>
          <w:trHeight w:val="2711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給藥劑量 (肝腎功能不全者劑量調整)之差異情形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5F0F1C">
        <w:trPr>
          <w:trHeight w:val="563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項目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申請藥</w:t>
            </w:r>
            <w:bookmarkStart w:id="1" w:name="_GoBack"/>
            <w:bookmarkEnd w:id="1"/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品資料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本院對照藥品資料</w:t>
            </w:r>
          </w:p>
        </w:tc>
      </w:tr>
      <w:tr w:rsidR="005F0F1C" w:rsidRPr="005F0F1C" w:rsidTr="002464D9">
        <w:trPr>
          <w:trHeight w:val="224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產品相對療效之差異情形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2464D9">
        <w:trPr>
          <w:trHeight w:val="224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用藥安全之差異情形(例：產品外觀辨識、條碼、便民包裝或無菌包裝…等)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2464D9">
        <w:trPr>
          <w:trHeight w:val="224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產品安定差異情形(例：儲存條件、開封或調製後之相容性及安定性、</w:t>
            </w:r>
            <w:proofErr w:type="gramStart"/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避光包裝</w:t>
            </w:r>
            <w:proofErr w:type="gramEnd"/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、真空包裝、有效期限…等)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2464D9">
        <w:trPr>
          <w:trHeight w:val="224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藥物交互作用之差異情形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2464D9">
        <w:trPr>
          <w:trHeight w:val="224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環保、節能</w:t>
            </w:r>
            <w:proofErr w:type="gramStart"/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或減碳效益</w:t>
            </w:r>
            <w:proofErr w:type="gramEnd"/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之差異情形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F0F1C" w:rsidRPr="005F0F1C" w:rsidTr="002464D9">
        <w:trPr>
          <w:trHeight w:val="2244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F1C" w:rsidRPr="005F0F1C" w:rsidRDefault="005F0F1C" w:rsidP="005F0F1C">
            <w:pPr>
              <w:widowControl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5F0F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用藥方便之差異情形(例:用藥間隔較長、用藥途徑較優、療效與安全性監測作業較簡化、攜帶較方便、調製較方便、使用較方便…等)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F1C" w:rsidRPr="005F0F1C" w:rsidRDefault="005F0F1C" w:rsidP="005F0F1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5F0F1C" w:rsidRPr="005F0F1C" w:rsidRDefault="005F0F1C">
      <w:pPr>
        <w:rPr>
          <w:rFonts w:hint="eastAsia"/>
        </w:rPr>
      </w:pPr>
    </w:p>
    <w:sectPr w:rsidR="005F0F1C" w:rsidRPr="005F0F1C" w:rsidSect="005F0F1C">
      <w:pgSz w:w="11906" w:h="16838"/>
      <w:pgMar w:top="1140" w:right="851" w:bottom="97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C"/>
    <w:rsid w:val="005F0F1C"/>
    <w:rsid w:val="008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9217"/>
  <w15:chartTrackingRefBased/>
  <w15:docId w15:val="{4107876A-CB91-4F43-8C3B-C1B7DE63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2023-04-17T08:54:00Z</dcterms:created>
  <dcterms:modified xsi:type="dcterms:W3CDTF">2023-04-17T09:04:00Z</dcterms:modified>
</cp:coreProperties>
</file>