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7556"/>
      </w:tblGrid>
      <w:tr w:rsidR="00211E09" w:rsidRPr="0020546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205464" w:rsidRDefault="002614E5" w:rsidP="00205464">
            <w:pPr>
              <w:pStyle w:val="1"/>
              <w:spacing w:before="0" w:beforeAutospacing="0" w:after="0" w:afterAutospacing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bookmarkStart w:id="0" w:name="_GoBack"/>
            <w:r w:rsidRPr="00205464">
              <w:rPr>
                <w:rFonts w:ascii="Arial" w:eastAsia="標楷體" w:hAnsi="Arial" w:cs="Arial"/>
                <w:sz w:val="32"/>
                <w:szCs w:val="32"/>
              </w:rPr>
              <w:t>Sodium polystyrene sulfonate</w:t>
            </w:r>
            <w:r w:rsidRPr="00205464">
              <w:rPr>
                <w:rFonts w:ascii="Arial" w:eastAsia="標楷體" w:hAnsi="Arial" w:cs="Arial"/>
                <w:sz w:val="32"/>
                <w:szCs w:val="32"/>
              </w:rPr>
              <w:t>成分</w:t>
            </w:r>
            <w:r w:rsidR="00C1197C" w:rsidRPr="00205464">
              <w:rPr>
                <w:rFonts w:ascii="Arial" w:eastAsia="標楷體" w:hAnsi="Arial" w:cs="Arial"/>
                <w:sz w:val="32"/>
                <w:szCs w:val="32"/>
              </w:rPr>
              <w:t>藥品</w:t>
            </w:r>
            <w:r w:rsidR="00B32C39" w:rsidRPr="00205464">
              <w:rPr>
                <w:rFonts w:ascii="Arial" w:eastAsia="標楷體" w:hAnsi="Arial" w:cs="Arial"/>
                <w:sz w:val="32"/>
                <w:szCs w:val="32"/>
              </w:rPr>
              <w:t>安全資訊風險溝通表</w:t>
            </w:r>
            <w:bookmarkEnd w:id="0"/>
          </w:p>
        </w:tc>
      </w:tr>
      <w:tr w:rsidR="00211E09" w:rsidRPr="0020546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205464" w:rsidRDefault="00211E09" w:rsidP="00205464">
            <w:pPr>
              <w:pStyle w:val="1"/>
              <w:spacing w:before="0" w:beforeAutospacing="0" w:after="0" w:afterAutospacing="0"/>
              <w:jc w:val="right"/>
              <w:rPr>
                <w:rFonts w:ascii="Arial" w:eastAsia="標楷體" w:hAnsi="Arial" w:cs="Arial"/>
                <w:b w:val="0"/>
                <w:sz w:val="24"/>
                <w:szCs w:val="24"/>
              </w:rPr>
            </w:pPr>
            <w:r w:rsidRPr="00205464">
              <w:rPr>
                <w:rFonts w:ascii="Arial" w:eastAsia="標楷體" w:hAnsi="Arial" w:cs="Arial"/>
                <w:sz w:val="24"/>
                <w:szCs w:val="24"/>
              </w:rPr>
              <w:t xml:space="preserve">  </w:t>
            </w:r>
            <w:r w:rsidRPr="00205464">
              <w:rPr>
                <w:rFonts w:ascii="Arial" w:eastAsia="標楷體" w:hAnsi="Arial" w:cs="Arial"/>
                <w:b w:val="0"/>
                <w:sz w:val="24"/>
                <w:szCs w:val="24"/>
              </w:rPr>
              <w:t>日期：</w:t>
            </w:r>
            <w:r w:rsidR="002614E5" w:rsidRPr="00205464">
              <w:rPr>
                <w:rFonts w:ascii="Arial" w:eastAsia="標楷體" w:hAnsi="Arial" w:cs="Arial"/>
                <w:b w:val="0"/>
                <w:sz w:val="24"/>
                <w:szCs w:val="24"/>
              </w:rPr>
              <w:t>106/09</w:t>
            </w:r>
          </w:p>
        </w:tc>
      </w:tr>
      <w:tr w:rsidR="00211E09" w:rsidRPr="00205464" w:rsidTr="00CD47ED">
        <w:trPr>
          <w:trHeight w:val="333"/>
          <w:jc w:val="center"/>
        </w:trPr>
        <w:tc>
          <w:tcPr>
            <w:tcW w:w="2173" w:type="dxa"/>
            <w:vAlign w:val="center"/>
          </w:tcPr>
          <w:p w:rsidR="00211E09" w:rsidRPr="00205464" w:rsidRDefault="00211E09" w:rsidP="0020546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05464">
              <w:rPr>
                <w:rFonts w:ascii="Arial" w:eastAsia="標楷體" w:hAnsi="Arial" w:cs="Arial"/>
                <w:szCs w:val="24"/>
              </w:rPr>
              <w:t>藥品成分</w:t>
            </w:r>
          </w:p>
        </w:tc>
        <w:tc>
          <w:tcPr>
            <w:tcW w:w="7556" w:type="dxa"/>
          </w:tcPr>
          <w:p w:rsidR="00211E09" w:rsidRPr="00205464" w:rsidRDefault="002614E5" w:rsidP="004D52C4">
            <w:pPr>
              <w:pStyle w:val="1"/>
              <w:spacing w:before="0" w:beforeAutospacing="0" w:after="0" w:afterAutospacing="0"/>
              <w:jc w:val="both"/>
              <w:rPr>
                <w:rFonts w:ascii="Arial" w:eastAsia="標楷體" w:hAnsi="Arial" w:cs="Arial"/>
                <w:b w:val="0"/>
                <w:sz w:val="24"/>
                <w:szCs w:val="24"/>
              </w:rPr>
            </w:pPr>
            <w:r w:rsidRPr="00205464">
              <w:rPr>
                <w:rFonts w:ascii="Arial" w:eastAsia="標楷體" w:hAnsi="Arial" w:cs="Arial"/>
                <w:b w:val="0"/>
                <w:sz w:val="24"/>
                <w:szCs w:val="24"/>
              </w:rPr>
              <w:t>Sodium polystyrene sulfonate</w:t>
            </w:r>
            <w:r w:rsidR="004D52C4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（</w:t>
            </w:r>
            <w:r w:rsidRPr="00205464">
              <w:rPr>
                <w:rFonts w:ascii="Arial" w:eastAsia="標楷體" w:hAnsi="Arial" w:cs="Arial"/>
                <w:b w:val="0"/>
                <w:sz w:val="24"/>
                <w:szCs w:val="24"/>
              </w:rPr>
              <w:t>SPS</w:t>
            </w:r>
            <w:r w:rsidR="004D52C4"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）</w:t>
            </w:r>
          </w:p>
        </w:tc>
      </w:tr>
      <w:tr w:rsidR="00211E09" w:rsidRPr="00205464" w:rsidTr="00CD47ED">
        <w:trPr>
          <w:trHeight w:val="333"/>
          <w:jc w:val="center"/>
        </w:trPr>
        <w:tc>
          <w:tcPr>
            <w:tcW w:w="2173" w:type="dxa"/>
            <w:vAlign w:val="center"/>
          </w:tcPr>
          <w:p w:rsidR="00211E09" w:rsidRPr="00205464" w:rsidRDefault="00211E09" w:rsidP="0020546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05464">
              <w:rPr>
                <w:rFonts w:ascii="Arial" w:eastAsia="標楷體" w:hAnsi="Arial" w:cs="Arial"/>
                <w:szCs w:val="24"/>
              </w:rPr>
              <w:t>藥品名稱</w:t>
            </w:r>
          </w:p>
          <w:p w:rsidR="00211E09" w:rsidRPr="00205464" w:rsidRDefault="00211E09" w:rsidP="0020546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05464">
              <w:rPr>
                <w:rFonts w:ascii="Arial" w:eastAsia="標楷體" w:hAnsi="Arial" w:cs="Arial"/>
                <w:szCs w:val="24"/>
              </w:rPr>
              <w:t>及許可證字號</w:t>
            </w:r>
          </w:p>
        </w:tc>
        <w:tc>
          <w:tcPr>
            <w:tcW w:w="7556" w:type="dxa"/>
          </w:tcPr>
          <w:p w:rsidR="00BF31DF" w:rsidRPr="00205464" w:rsidRDefault="002614E5" w:rsidP="00205464">
            <w:pPr>
              <w:pStyle w:val="1"/>
              <w:spacing w:before="0" w:beforeAutospacing="0" w:after="0" w:afterAutospacing="0"/>
              <w:jc w:val="both"/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5464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r w:rsidRPr="00205464">
              <w:rPr>
                <w:rFonts w:ascii="Arial" w:eastAsia="標楷體" w:hAnsi="Arial" w:cs="Arial"/>
                <w:b w:val="0"/>
                <w:sz w:val="24"/>
                <w:szCs w:val="24"/>
              </w:rPr>
              <w:t>SPS</w:t>
            </w:r>
            <w:r w:rsidRPr="00205464">
              <w:rPr>
                <w:rFonts w:ascii="Arial" w:eastAsia="標楷體" w:hAnsi="Arial" w:cs="Arial"/>
                <w:b w:val="0"/>
                <w:sz w:val="24"/>
                <w:szCs w:val="24"/>
              </w:rPr>
              <w:t>成分藥品</w:t>
            </w:r>
            <w:r w:rsidRPr="00205464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製劑許可證共</w:t>
            </w:r>
            <w:r w:rsidRPr="00205464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Pr="00205464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張。查詢網址：</w:t>
            </w:r>
            <w:r w:rsidRPr="00205464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http://www.fda.gov.tw/MLMS/H0001.aspx</w:t>
            </w:r>
          </w:p>
        </w:tc>
      </w:tr>
      <w:tr w:rsidR="00211E09" w:rsidRPr="00205464" w:rsidTr="00CD47ED">
        <w:trPr>
          <w:trHeight w:val="333"/>
          <w:jc w:val="center"/>
        </w:trPr>
        <w:tc>
          <w:tcPr>
            <w:tcW w:w="2173" w:type="dxa"/>
            <w:vAlign w:val="center"/>
          </w:tcPr>
          <w:p w:rsidR="00211E09" w:rsidRPr="00205464" w:rsidRDefault="00211E09" w:rsidP="0020546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05464">
              <w:rPr>
                <w:rFonts w:ascii="Arial" w:eastAsia="標楷體" w:hAnsi="Arial" w:cs="Arial"/>
                <w:color w:val="000000"/>
                <w:szCs w:val="24"/>
              </w:rPr>
              <w:t>適應症</w:t>
            </w:r>
          </w:p>
        </w:tc>
        <w:tc>
          <w:tcPr>
            <w:tcW w:w="7556" w:type="dxa"/>
          </w:tcPr>
          <w:p w:rsidR="00E855E2" w:rsidRPr="00205464" w:rsidRDefault="002614E5" w:rsidP="004D52C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205464">
              <w:rPr>
                <w:rFonts w:ascii="Arial" w:eastAsia="標楷體" w:hAnsi="Arial" w:cs="Arial"/>
                <w:szCs w:val="24"/>
                <w:shd w:val="clear" w:color="auto" w:fill="FFFFFF"/>
              </w:rPr>
              <w:t>高鉀血症及由</w:t>
            </w:r>
            <w:proofErr w:type="gramStart"/>
            <w:r w:rsidRPr="00205464">
              <w:rPr>
                <w:rFonts w:ascii="Arial" w:eastAsia="標楷體" w:hAnsi="Arial" w:cs="Arial"/>
                <w:szCs w:val="24"/>
                <w:shd w:val="clear" w:color="auto" w:fill="FFFFFF"/>
              </w:rPr>
              <w:t>尿少症</w:t>
            </w:r>
            <w:proofErr w:type="gramEnd"/>
            <w:r w:rsidRPr="00205464">
              <w:rPr>
                <w:rFonts w:ascii="Arial" w:eastAsia="標楷體" w:hAnsi="Arial" w:cs="Arial"/>
                <w:szCs w:val="24"/>
                <w:shd w:val="clear" w:color="auto" w:fill="FFFFFF"/>
              </w:rPr>
              <w:t>和由急性腎壞死</w:t>
            </w:r>
            <w:r w:rsidR="004D52C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（</w:t>
            </w:r>
            <w:r w:rsidRPr="00205464">
              <w:rPr>
                <w:rFonts w:ascii="Arial" w:eastAsia="標楷體" w:hAnsi="Arial" w:cs="Arial"/>
                <w:szCs w:val="24"/>
                <w:shd w:val="clear" w:color="auto" w:fill="FFFFFF"/>
              </w:rPr>
              <w:t>如腎小管病變、腎血色蛋白尿性病變、</w:t>
            </w:r>
            <w:proofErr w:type="gramStart"/>
            <w:r w:rsidRPr="00205464">
              <w:rPr>
                <w:rFonts w:ascii="Arial" w:eastAsia="標楷體" w:hAnsi="Arial" w:cs="Arial"/>
                <w:szCs w:val="24"/>
                <w:shd w:val="clear" w:color="auto" w:fill="FFFFFF"/>
              </w:rPr>
              <w:t>猝</w:t>
            </w:r>
            <w:proofErr w:type="gramEnd"/>
            <w:r w:rsidRPr="00205464">
              <w:rPr>
                <w:rFonts w:ascii="Arial" w:eastAsia="標楷體" w:hAnsi="Arial" w:cs="Arial"/>
                <w:szCs w:val="24"/>
                <w:shd w:val="clear" w:color="auto" w:fill="FFFFFF"/>
              </w:rPr>
              <w:t>變性腎病、壓碎性腎病</w:t>
            </w:r>
            <w:r w:rsidR="004D52C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）</w:t>
            </w:r>
            <w:r w:rsidRPr="00205464">
              <w:rPr>
                <w:rFonts w:ascii="Arial" w:eastAsia="標楷體" w:hAnsi="Arial" w:cs="Arial"/>
                <w:szCs w:val="24"/>
                <w:shd w:val="clear" w:color="auto" w:fill="FFFFFF"/>
              </w:rPr>
              <w:t>所引起</w:t>
            </w:r>
            <w:proofErr w:type="gramStart"/>
            <w:r w:rsidRPr="00205464">
              <w:rPr>
                <w:rFonts w:ascii="Arial" w:eastAsia="標楷體" w:hAnsi="Arial" w:cs="Arial"/>
                <w:szCs w:val="24"/>
                <w:shd w:val="clear" w:color="auto" w:fill="FFFFFF"/>
              </w:rPr>
              <w:t>的尿閉症</w:t>
            </w:r>
            <w:proofErr w:type="gramEnd"/>
            <w:r w:rsidRPr="00205464">
              <w:rPr>
                <w:rFonts w:ascii="Arial" w:eastAsia="標楷體" w:hAnsi="Arial" w:cs="Arial"/>
                <w:szCs w:val="24"/>
                <w:shd w:val="clear" w:color="auto" w:fill="FFFFFF"/>
              </w:rPr>
              <w:t>、高鉀血症。</w:t>
            </w:r>
          </w:p>
        </w:tc>
      </w:tr>
      <w:tr w:rsidR="00211E09" w:rsidRPr="00205464" w:rsidTr="00CD47ED">
        <w:trPr>
          <w:jc w:val="center"/>
        </w:trPr>
        <w:tc>
          <w:tcPr>
            <w:tcW w:w="2173" w:type="dxa"/>
            <w:vAlign w:val="center"/>
          </w:tcPr>
          <w:p w:rsidR="00211E09" w:rsidRPr="00205464" w:rsidRDefault="00211E09" w:rsidP="0020546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05464">
              <w:rPr>
                <w:rFonts w:ascii="Arial" w:eastAsia="標楷體" w:hAnsi="Arial" w:cs="Arial"/>
                <w:szCs w:val="24"/>
              </w:rPr>
              <w:t>藥理作用機轉</w:t>
            </w:r>
          </w:p>
        </w:tc>
        <w:tc>
          <w:tcPr>
            <w:tcW w:w="7556" w:type="dxa"/>
          </w:tcPr>
          <w:p w:rsidR="00C870E0" w:rsidRPr="00205464" w:rsidRDefault="0004110D" w:rsidP="00205464">
            <w:pPr>
              <w:autoSpaceDE w:val="0"/>
              <w:autoSpaceDN w:val="0"/>
              <w:adjustRightInd w:val="0"/>
              <w:jc w:val="both"/>
              <w:rPr>
                <w:rFonts w:ascii="Arial" w:eastAsia="標楷體" w:hAnsi="Arial" w:cs="Arial"/>
                <w:szCs w:val="24"/>
              </w:rPr>
            </w:pPr>
            <w:r w:rsidRPr="00205464">
              <w:rPr>
                <w:rFonts w:ascii="Arial" w:eastAsia="標楷體" w:hAnsi="Arial" w:cs="Arial"/>
                <w:szCs w:val="24"/>
              </w:rPr>
              <w:t>SPS</w:t>
            </w:r>
            <w:r w:rsidR="00477791" w:rsidRPr="00205464">
              <w:rPr>
                <w:rFonts w:ascii="Arial" w:eastAsia="標楷體" w:hAnsi="Arial" w:cs="Arial"/>
                <w:szCs w:val="24"/>
              </w:rPr>
              <w:t>為陽離子交換樹脂</w:t>
            </w:r>
            <w:r w:rsidR="00863CC7" w:rsidRPr="00205464">
              <w:rPr>
                <w:rFonts w:ascii="Arial" w:eastAsia="標楷體" w:hAnsi="Arial" w:cs="Arial"/>
                <w:szCs w:val="24"/>
              </w:rPr>
              <w:t>，</w:t>
            </w:r>
            <w:r w:rsidR="000C36CC" w:rsidRPr="00205464">
              <w:rPr>
                <w:rFonts w:ascii="Arial" w:eastAsia="標楷體" w:hAnsi="Arial" w:cs="Arial"/>
                <w:szCs w:val="24"/>
              </w:rPr>
              <w:t>其所含的鈉離子</w:t>
            </w:r>
            <w:proofErr w:type="gramStart"/>
            <w:r w:rsidR="000C36CC" w:rsidRPr="00205464">
              <w:rPr>
                <w:rFonts w:ascii="Arial" w:eastAsia="標楷體" w:hAnsi="Arial" w:cs="Arial"/>
                <w:szCs w:val="24"/>
              </w:rPr>
              <w:t>可於</w:t>
            </w:r>
            <w:r w:rsidR="000C36CC" w:rsidRPr="00205464">
              <w:rPr>
                <w:rFonts w:ascii="Arial" w:eastAsia="標楷體" w:hAnsi="Arial" w:cs="Arial"/>
                <w:kern w:val="0"/>
                <w:szCs w:val="24"/>
              </w:rPr>
              <w:t>腸道</w:t>
            </w:r>
            <w:proofErr w:type="gramEnd"/>
            <w:r w:rsidR="000C36CC" w:rsidRPr="00205464">
              <w:rPr>
                <w:rFonts w:ascii="Arial" w:eastAsia="標楷體" w:hAnsi="Arial" w:cs="Arial"/>
                <w:kern w:val="0"/>
                <w:szCs w:val="24"/>
              </w:rPr>
              <w:t>內與</w:t>
            </w:r>
            <w:r w:rsidR="000C36CC" w:rsidRPr="00205464">
              <w:rPr>
                <w:rFonts w:ascii="Arial" w:eastAsia="標楷體" w:hAnsi="Arial" w:cs="Arial"/>
                <w:szCs w:val="24"/>
              </w:rPr>
              <w:t>鉀離子進行</w:t>
            </w:r>
            <w:r w:rsidR="008E3CEF" w:rsidRPr="00205464">
              <w:rPr>
                <w:rFonts w:ascii="Arial" w:eastAsia="標楷體" w:hAnsi="Arial" w:cs="Arial"/>
                <w:szCs w:val="24"/>
              </w:rPr>
              <w:t>離子</w:t>
            </w:r>
            <w:r w:rsidR="000C36CC" w:rsidRPr="00205464">
              <w:rPr>
                <w:rFonts w:ascii="Arial" w:eastAsia="標楷體" w:hAnsi="Arial" w:cs="Arial"/>
                <w:szCs w:val="24"/>
              </w:rPr>
              <w:t>交換</w:t>
            </w:r>
            <w:r w:rsidR="008E3CEF" w:rsidRPr="00205464">
              <w:rPr>
                <w:rFonts w:ascii="Arial" w:eastAsia="標楷體" w:hAnsi="Arial" w:cs="Arial"/>
                <w:szCs w:val="24"/>
              </w:rPr>
              <w:t>，鉀離子再與氫離子結合於樹脂中，由糞便排出</w:t>
            </w:r>
            <w:r w:rsidR="000C36CC" w:rsidRPr="00205464">
              <w:rPr>
                <w:rFonts w:ascii="Arial" w:eastAsia="標楷體" w:hAnsi="Arial" w:cs="Arial"/>
                <w:szCs w:val="24"/>
              </w:rPr>
              <w:t>，</w:t>
            </w:r>
            <w:r w:rsidR="00863CC7" w:rsidRPr="00205464">
              <w:rPr>
                <w:rFonts w:ascii="Arial" w:eastAsia="標楷體" w:hAnsi="Arial" w:cs="Arial"/>
                <w:kern w:val="0"/>
                <w:szCs w:val="24"/>
              </w:rPr>
              <w:t>而達到降低血鉀的</w:t>
            </w:r>
            <w:r w:rsidR="000C36CC" w:rsidRPr="00205464">
              <w:rPr>
                <w:rFonts w:ascii="Arial" w:eastAsia="標楷體" w:hAnsi="Arial" w:cs="Arial"/>
                <w:szCs w:val="24"/>
              </w:rPr>
              <w:t>效果</w:t>
            </w:r>
            <w:r w:rsidR="000C36CC" w:rsidRPr="00205464">
              <w:rPr>
                <w:rFonts w:ascii="Arial" w:eastAsia="標楷體" w:hAnsi="Arial" w:cs="Arial"/>
                <w:kern w:val="0"/>
                <w:szCs w:val="24"/>
              </w:rPr>
              <w:t>。</w:t>
            </w:r>
          </w:p>
        </w:tc>
      </w:tr>
      <w:tr w:rsidR="00211E09" w:rsidRPr="00205464" w:rsidTr="00CD47ED">
        <w:trPr>
          <w:trHeight w:val="736"/>
          <w:jc w:val="center"/>
        </w:trPr>
        <w:tc>
          <w:tcPr>
            <w:tcW w:w="2173" w:type="dxa"/>
            <w:vAlign w:val="center"/>
          </w:tcPr>
          <w:p w:rsidR="00211E09" w:rsidRPr="00205464" w:rsidRDefault="00211E09" w:rsidP="00205464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205464">
              <w:rPr>
                <w:rFonts w:ascii="Arial" w:eastAsia="標楷體" w:hAnsi="Arial" w:cs="Arial"/>
                <w:color w:val="000000"/>
                <w:szCs w:val="24"/>
              </w:rPr>
              <w:t>訊息緣由</w:t>
            </w:r>
          </w:p>
        </w:tc>
        <w:tc>
          <w:tcPr>
            <w:tcW w:w="7556" w:type="dxa"/>
          </w:tcPr>
          <w:p w:rsidR="00FE7AB5" w:rsidRPr="00205464" w:rsidRDefault="00B63D3E" w:rsidP="00205464">
            <w:pPr>
              <w:autoSpaceDE w:val="0"/>
              <w:autoSpaceDN w:val="0"/>
              <w:adjustRightInd w:val="0"/>
              <w:jc w:val="both"/>
              <w:rPr>
                <w:rFonts w:ascii="Arial" w:eastAsia="標楷體" w:hAnsi="Arial" w:cs="Arial"/>
                <w:szCs w:val="24"/>
              </w:rPr>
            </w:pPr>
            <w:r w:rsidRPr="00205464">
              <w:rPr>
                <w:rFonts w:ascii="Arial" w:eastAsia="標楷體" w:hAnsi="Arial" w:cs="Arial"/>
                <w:szCs w:val="24"/>
              </w:rPr>
              <w:t>2017/</w:t>
            </w:r>
            <w:r w:rsidR="004036E7" w:rsidRPr="00205464">
              <w:rPr>
                <w:rFonts w:ascii="Arial" w:eastAsia="標楷體" w:hAnsi="Arial" w:cs="Arial"/>
                <w:szCs w:val="24"/>
              </w:rPr>
              <w:t>09</w:t>
            </w:r>
            <w:r w:rsidRPr="00205464">
              <w:rPr>
                <w:rFonts w:ascii="Arial" w:eastAsia="標楷體" w:hAnsi="Arial" w:cs="Arial"/>
                <w:szCs w:val="24"/>
              </w:rPr>
              <w:t>/</w:t>
            </w:r>
            <w:r w:rsidR="004036E7" w:rsidRPr="00205464">
              <w:rPr>
                <w:rFonts w:ascii="Arial" w:eastAsia="標楷體" w:hAnsi="Arial" w:cs="Arial"/>
                <w:szCs w:val="24"/>
              </w:rPr>
              <w:t>06</w:t>
            </w:r>
            <w:r w:rsidRPr="00205464">
              <w:rPr>
                <w:rFonts w:ascii="Arial" w:eastAsia="標楷體" w:hAnsi="Arial" w:cs="Arial"/>
                <w:szCs w:val="24"/>
              </w:rPr>
              <w:t>美國</w:t>
            </w:r>
            <w:r w:rsidRPr="00205464">
              <w:rPr>
                <w:rFonts w:ascii="Arial" w:eastAsia="標楷體" w:hAnsi="Arial" w:cs="Arial"/>
                <w:szCs w:val="24"/>
              </w:rPr>
              <w:t>FDA</w:t>
            </w:r>
            <w:r w:rsidRPr="00205464">
              <w:rPr>
                <w:rFonts w:ascii="Arial" w:eastAsia="標楷體" w:hAnsi="Arial" w:cs="Arial"/>
                <w:szCs w:val="24"/>
              </w:rPr>
              <w:t>發布</w:t>
            </w:r>
            <w:r w:rsidR="00FE7AB5" w:rsidRPr="00205464">
              <w:rPr>
                <w:rFonts w:ascii="Arial" w:eastAsia="標楷體" w:hAnsi="Arial" w:cs="Arial"/>
                <w:szCs w:val="24"/>
              </w:rPr>
              <w:t>含</w:t>
            </w:r>
            <w:r w:rsidR="00FE7AB5" w:rsidRPr="00205464">
              <w:rPr>
                <w:rFonts w:ascii="Arial" w:eastAsia="標楷體" w:hAnsi="Arial" w:cs="Arial"/>
                <w:szCs w:val="24"/>
              </w:rPr>
              <w:t>SPS</w:t>
            </w:r>
            <w:r w:rsidR="00FE7AB5" w:rsidRPr="00205464">
              <w:rPr>
                <w:rFonts w:ascii="Arial" w:eastAsia="標楷體" w:hAnsi="Arial" w:cs="Arial"/>
                <w:szCs w:val="24"/>
              </w:rPr>
              <w:t>成分治療高鉀</w:t>
            </w:r>
            <w:r w:rsidR="005A1BB5" w:rsidRPr="00205464">
              <w:rPr>
                <w:rFonts w:ascii="Arial" w:eastAsia="標楷體" w:hAnsi="Arial" w:cs="Arial"/>
                <w:szCs w:val="24"/>
              </w:rPr>
              <w:t>血</w:t>
            </w:r>
            <w:r w:rsidR="00FE7AB5" w:rsidRPr="00205464">
              <w:rPr>
                <w:rFonts w:ascii="Arial" w:eastAsia="標楷體" w:hAnsi="Arial" w:cs="Arial"/>
                <w:szCs w:val="24"/>
              </w:rPr>
              <w:t>症藥品與其他口服藥品</w:t>
            </w:r>
            <w:r w:rsidR="007D7DF5">
              <w:rPr>
                <w:rFonts w:ascii="Arial" w:eastAsia="標楷體" w:hAnsi="Arial" w:cs="Arial" w:hint="eastAsia"/>
                <w:szCs w:val="24"/>
              </w:rPr>
              <w:t>同時服用</w:t>
            </w:r>
            <w:r w:rsidR="00FE7AB5" w:rsidRPr="00205464">
              <w:rPr>
                <w:rFonts w:ascii="Arial" w:eastAsia="標楷體" w:hAnsi="Arial" w:cs="Arial"/>
                <w:szCs w:val="24"/>
              </w:rPr>
              <w:t>，可能會與其他口服藥品產生結合作用，導致其他口服藥品吸收</w:t>
            </w:r>
            <w:r w:rsidR="00630A37" w:rsidRPr="00205464">
              <w:rPr>
                <w:rFonts w:ascii="Arial" w:eastAsia="標楷體" w:hAnsi="Arial" w:cs="Arial"/>
                <w:szCs w:val="24"/>
              </w:rPr>
              <w:t>降低因而</w:t>
            </w:r>
            <w:r w:rsidR="00FE7AB5" w:rsidRPr="00205464">
              <w:rPr>
                <w:rFonts w:ascii="Arial" w:eastAsia="標楷體" w:hAnsi="Arial" w:cs="Arial"/>
                <w:szCs w:val="24"/>
              </w:rPr>
              <w:t>藥效降低</w:t>
            </w:r>
            <w:r w:rsidRPr="00205464">
              <w:rPr>
                <w:rFonts w:ascii="Arial" w:eastAsia="標楷體" w:hAnsi="Arial" w:cs="Arial"/>
                <w:szCs w:val="24"/>
              </w:rPr>
              <w:t>之安全性資訊</w:t>
            </w:r>
            <w:r w:rsidR="00FE7AB5" w:rsidRPr="00205464">
              <w:rPr>
                <w:rFonts w:ascii="Arial" w:eastAsia="標楷體" w:hAnsi="Arial" w:cs="Arial"/>
                <w:szCs w:val="24"/>
              </w:rPr>
              <w:t>。</w:t>
            </w:r>
            <w:r w:rsidRPr="00205464">
              <w:rPr>
                <w:rFonts w:ascii="Arial" w:eastAsia="標楷體" w:hAnsi="Arial" w:cs="Arial"/>
                <w:szCs w:val="24"/>
              </w:rPr>
              <w:t>網址：</w:t>
            </w:r>
          </w:p>
          <w:p w:rsidR="00960C09" w:rsidRPr="00205464" w:rsidRDefault="000C19AD" w:rsidP="00205464">
            <w:pPr>
              <w:pStyle w:val="gmail-m-8045136572329527891gmail-msolistparagraph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eastAsia="標楷體" w:hAnsi="Arial" w:cs="Arial"/>
                <w:kern w:val="2"/>
                <w:u w:val="single"/>
              </w:rPr>
            </w:pPr>
            <w:hyperlink r:id="rId9" w:tgtFrame="_blank" w:history="1">
              <w:r w:rsidR="00FE7AB5" w:rsidRPr="00205464">
                <w:rPr>
                  <w:rFonts w:ascii="Arial" w:eastAsia="標楷體" w:hAnsi="Arial" w:cs="Arial"/>
                  <w:kern w:val="2"/>
                  <w:u w:val="single"/>
                </w:rPr>
                <w:t>https://www.fda.gov/Safety/MedWatch/SafetyInformation/SafetyAlertsforHumanMedicalProducts/ucm574763.htm</w:t>
              </w:r>
            </w:hyperlink>
          </w:p>
        </w:tc>
      </w:tr>
      <w:tr w:rsidR="009B09E6" w:rsidRPr="00205464" w:rsidTr="00CD47ED">
        <w:trPr>
          <w:trHeight w:val="841"/>
          <w:jc w:val="center"/>
        </w:trPr>
        <w:tc>
          <w:tcPr>
            <w:tcW w:w="2173" w:type="dxa"/>
            <w:vAlign w:val="center"/>
          </w:tcPr>
          <w:p w:rsidR="009B09E6" w:rsidRPr="00205464" w:rsidRDefault="003A0C0B" w:rsidP="0020546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05464">
              <w:rPr>
                <w:rFonts w:ascii="Arial" w:eastAsia="標楷體" w:hAnsi="Arial" w:cs="Arial"/>
                <w:szCs w:val="24"/>
              </w:rPr>
              <w:t>藥品安全有關資訊分析及描述</w:t>
            </w:r>
          </w:p>
        </w:tc>
        <w:tc>
          <w:tcPr>
            <w:tcW w:w="7556" w:type="dxa"/>
          </w:tcPr>
          <w:p w:rsidR="00426BEF" w:rsidRPr="00205464" w:rsidRDefault="003A0C0B" w:rsidP="00205464">
            <w:pPr>
              <w:pStyle w:val="m-4432429833575846576m-9066279047794864691gmail-m4579433379537909631gmail-msolistparagraph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317" w:hanging="317"/>
              <w:jc w:val="both"/>
              <w:rPr>
                <w:rFonts w:ascii="Arial" w:eastAsia="標楷體" w:hAnsi="Arial" w:cs="Arial"/>
                <w:bCs/>
                <w:color w:val="000000"/>
              </w:rPr>
            </w:pPr>
            <w:r w:rsidRPr="00205464">
              <w:rPr>
                <w:rFonts w:ascii="Arial" w:eastAsia="標楷體" w:hAnsi="Arial" w:cs="Arial"/>
                <w:bCs/>
                <w:color w:val="000000"/>
              </w:rPr>
              <w:t>美國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FDA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曾於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2015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年要求廠商針對</w:t>
            </w:r>
            <w:r w:rsidRPr="00205464">
              <w:rPr>
                <w:rFonts w:ascii="Arial" w:eastAsia="標楷體" w:hAnsi="Arial" w:cs="Arial"/>
                <w:color w:val="000000" w:themeColor="text1"/>
              </w:rPr>
              <w:t>含</w:t>
            </w:r>
            <w:r w:rsidRPr="00205464">
              <w:rPr>
                <w:rFonts w:ascii="Arial" w:eastAsia="標楷體" w:hAnsi="Arial" w:cs="Arial"/>
              </w:rPr>
              <w:t>SPS</w:t>
            </w:r>
            <w:r w:rsidRPr="00205464">
              <w:rPr>
                <w:rFonts w:ascii="Arial" w:eastAsia="標楷體" w:hAnsi="Arial" w:cs="Arial"/>
              </w:rPr>
              <w:t>成分藥品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執行藥物交互作用相關研究</w:t>
            </w:r>
            <w:r w:rsidR="00426BEF" w:rsidRPr="00205464">
              <w:rPr>
                <w:rFonts w:ascii="Arial" w:eastAsia="標楷體" w:hAnsi="Arial" w:cs="Arial"/>
                <w:bCs/>
                <w:color w:val="000000"/>
              </w:rPr>
              <w:t>。</w:t>
            </w:r>
          </w:p>
          <w:p w:rsidR="00BC1D28" w:rsidRPr="00205464" w:rsidRDefault="003A0C0B" w:rsidP="00205464">
            <w:pPr>
              <w:pStyle w:val="m-4432429833575846576m-9066279047794864691gmail-m4579433379537909631gmail-msolistparagraph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317" w:hanging="317"/>
              <w:jc w:val="both"/>
              <w:rPr>
                <w:rFonts w:ascii="Arial" w:eastAsia="標楷體" w:hAnsi="Arial" w:cs="Arial"/>
                <w:bCs/>
                <w:color w:val="000000"/>
              </w:rPr>
            </w:pPr>
            <w:r w:rsidRPr="00205464">
              <w:rPr>
                <w:rFonts w:ascii="Arial" w:eastAsia="標楷體" w:hAnsi="Arial" w:cs="Arial"/>
                <w:bCs/>
                <w:color w:val="000000"/>
              </w:rPr>
              <w:t>經體外研究結果顯示，</w:t>
            </w:r>
            <w:r w:rsidR="008B199B" w:rsidRPr="00205464">
              <w:rPr>
                <w:rFonts w:ascii="Arial" w:eastAsia="標楷體" w:hAnsi="Arial" w:cs="Arial"/>
                <w:color w:val="000000" w:themeColor="text1"/>
              </w:rPr>
              <w:t>含</w:t>
            </w:r>
            <w:r w:rsidR="008B199B" w:rsidRPr="00205464">
              <w:rPr>
                <w:rFonts w:ascii="Arial" w:eastAsia="標楷體" w:hAnsi="Arial" w:cs="Arial"/>
              </w:rPr>
              <w:t>SPS</w:t>
            </w:r>
            <w:r w:rsidR="008B199B" w:rsidRPr="00205464">
              <w:rPr>
                <w:rFonts w:ascii="Arial" w:eastAsia="標楷體" w:hAnsi="Arial" w:cs="Arial"/>
              </w:rPr>
              <w:t>成分藥品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與</w:t>
            </w:r>
            <w:r w:rsidR="00821062">
              <w:rPr>
                <w:rFonts w:ascii="Arial" w:eastAsia="標楷體" w:hAnsi="Arial" w:cs="Arial" w:hint="eastAsia"/>
                <w:bCs/>
                <w:color w:val="000000"/>
              </w:rPr>
              <w:t>經</w:t>
            </w:r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>常</w:t>
            </w:r>
            <w:r w:rsidR="00821062">
              <w:rPr>
                <w:rFonts w:ascii="Arial" w:eastAsia="標楷體" w:hAnsi="Arial" w:cs="Arial" w:hint="eastAsia"/>
                <w:bCs/>
                <w:color w:val="000000"/>
              </w:rPr>
              <w:t>和該</w:t>
            </w:r>
            <w:r w:rsidR="00821062" w:rsidRPr="00205464">
              <w:rPr>
                <w:rFonts w:ascii="Arial" w:eastAsia="標楷體" w:hAnsi="Arial" w:cs="Arial"/>
              </w:rPr>
              <w:t>成分藥品</w:t>
            </w:r>
            <w:proofErr w:type="gramStart"/>
            <w:r w:rsidR="00821062">
              <w:rPr>
                <w:rFonts w:ascii="Arial" w:eastAsia="標楷體" w:hAnsi="Arial" w:cs="Arial" w:hint="eastAsia"/>
                <w:bCs/>
                <w:color w:val="000000"/>
              </w:rPr>
              <w:t>併</w:t>
            </w:r>
            <w:proofErr w:type="gramEnd"/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>用的口服藥品，例如：高血壓藥</w:t>
            </w:r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 xml:space="preserve">- 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amlodipine</w:t>
            </w:r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>及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metoprolol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、</w:t>
            </w:r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>抗生素</w:t>
            </w:r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 xml:space="preserve">- 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amoxicillin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、</w:t>
            </w:r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>利尿劑</w:t>
            </w:r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>-</w:t>
            </w:r>
            <w:r w:rsidR="006A24C7">
              <w:rPr>
                <w:rFonts w:ascii="Arial" w:eastAsia="標楷體" w:hAnsi="Arial" w:cs="Arial" w:hint="eastAsia"/>
                <w:bCs/>
                <w:color w:val="000000"/>
              </w:rPr>
              <w:t xml:space="preserve"> 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furosemide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、</w:t>
            </w:r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>抗癲癇藥</w:t>
            </w:r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>-</w:t>
            </w:r>
            <w:r w:rsidR="006A24C7">
              <w:rPr>
                <w:rFonts w:ascii="Arial" w:eastAsia="標楷體" w:hAnsi="Arial" w:cs="Arial" w:hint="eastAsia"/>
                <w:bCs/>
                <w:color w:val="000000"/>
              </w:rPr>
              <w:t xml:space="preserve"> 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phenytoin</w:t>
            </w:r>
            <w:r w:rsidR="00426BEF" w:rsidRPr="00205464">
              <w:rPr>
                <w:rFonts w:ascii="Arial" w:eastAsia="標楷體" w:hAnsi="Arial" w:cs="Arial"/>
                <w:bCs/>
                <w:color w:val="000000"/>
              </w:rPr>
              <w:t>、</w:t>
            </w:r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>抗凝血</w:t>
            </w:r>
            <w:r w:rsidR="00821062" w:rsidRPr="00205464">
              <w:rPr>
                <w:rFonts w:ascii="Arial" w:eastAsia="標楷體" w:hAnsi="Arial" w:cs="Arial"/>
                <w:bCs/>
                <w:color w:val="000000"/>
              </w:rPr>
              <w:t>劑</w:t>
            </w:r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>-</w:t>
            </w:r>
            <w:r w:rsidR="006A24C7">
              <w:rPr>
                <w:rFonts w:ascii="Arial" w:eastAsia="標楷體" w:hAnsi="Arial" w:cs="Arial" w:hint="eastAsia"/>
                <w:bCs/>
                <w:color w:val="000000"/>
              </w:rPr>
              <w:t xml:space="preserve"> 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warfarin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等</w:t>
            </w:r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>，</w:t>
            </w:r>
            <w:proofErr w:type="gramStart"/>
            <w:r w:rsidR="008B199B" w:rsidRPr="00205464">
              <w:rPr>
                <w:rFonts w:ascii="Arial" w:eastAsia="標楷體" w:hAnsi="Arial" w:cs="Arial"/>
                <w:bCs/>
                <w:color w:val="000000"/>
              </w:rPr>
              <w:t>均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會產生</w:t>
            </w:r>
            <w:proofErr w:type="gramEnd"/>
            <w:r w:rsidRPr="00205464">
              <w:rPr>
                <w:rFonts w:ascii="Arial" w:eastAsia="標楷體" w:hAnsi="Arial" w:cs="Arial"/>
                <w:bCs/>
                <w:color w:val="000000"/>
              </w:rPr>
              <w:t>顯著的結合作用</w:t>
            </w:r>
            <w:r w:rsidR="00AF7112" w:rsidRPr="00205464">
              <w:rPr>
                <w:rFonts w:ascii="Arial" w:eastAsia="標楷體" w:hAnsi="Arial" w:cs="Arial"/>
                <w:bCs/>
                <w:color w:val="000000"/>
              </w:rPr>
              <w:t>，推論</w:t>
            </w:r>
            <w:r w:rsidR="00AF7112" w:rsidRPr="00205464">
              <w:rPr>
                <w:rFonts w:ascii="Arial" w:eastAsia="標楷體" w:hAnsi="Arial" w:cs="Arial"/>
                <w:color w:val="000000" w:themeColor="text1"/>
              </w:rPr>
              <w:t>含</w:t>
            </w:r>
            <w:r w:rsidR="00AF7112" w:rsidRPr="00205464">
              <w:rPr>
                <w:rFonts w:ascii="Arial" w:eastAsia="標楷體" w:hAnsi="Arial" w:cs="Arial"/>
              </w:rPr>
              <w:t>SPS</w:t>
            </w:r>
            <w:r w:rsidR="00AF7112" w:rsidRPr="00205464">
              <w:rPr>
                <w:rFonts w:ascii="Arial" w:eastAsia="標楷體" w:hAnsi="Arial" w:cs="Arial"/>
              </w:rPr>
              <w:t>成分藥品</w:t>
            </w:r>
            <w:r w:rsidR="00426BEF" w:rsidRPr="00205464">
              <w:rPr>
                <w:rFonts w:ascii="Arial" w:eastAsia="標楷體" w:hAnsi="Arial" w:cs="Arial"/>
                <w:color w:val="222222"/>
              </w:rPr>
              <w:t>也可能與許多其他口服藥</w:t>
            </w:r>
            <w:r w:rsidR="00BC1D28" w:rsidRPr="00205464">
              <w:rPr>
                <w:rFonts w:ascii="Arial" w:eastAsia="標楷體" w:hAnsi="Arial" w:cs="Arial"/>
                <w:color w:val="222222"/>
              </w:rPr>
              <w:t>品</w:t>
            </w:r>
            <w:r w:rsidR="00426BEF" w:rsidRPr="00205464">
              <w:rPr>
                <w:rFonts w:ascii="Arial" w:eastAsia="標楷體" w:hAnsi="Arial" w:cs="Arial"/>
                <w:color w:val="222222"/>
              </w:rPr>
              <w:t>結合</w:t>
            </w:r>
            <w:r w:rsidR="007079F1" w:rsidRPr="00205464">
              <w:rPr>
                <w:rFonts w:ascii="Arial" w:eastAsia="標楷體" w:hAnsi="Arial" w:cs="Arial"/>
                <w:color w:val="222222"/>
              </w:rPr>
              <w:t>，</w:t>
            </w:r>
            <w:r w:rsidR="007079F1" w:rsidRPr="00205464">
              <w:rPr>
                <w:rFonts w:ascii="Arial" w:eastAsia="標楷體" w:hAnsi="Arial" w:cs="Arial"/>
              </w:rPr>
              <w:t>導致其他口服藥品吸收</w:t>
            </w:r>
            <w:r w:rsidR="00630A37" w:rsidRPr="00205464">
              <w:rPr>
                <w:rFonts w:ascii="Arial" w:eastAsia="標楷體" w:hAnsi="Arial" w:cs="Arial"/>
              </w:rPr>
              <w:t>降低因而</w:t>
            </w:r>
            <w:r w:rsidR="007079F1" w:rsidRPr="00205464">
              <w:rPr>
                <w:rFonts w:ascii="Arial" w:eastAsia="標楷體" w:hAnsi="Arial" w:cs="Arial"/>
              </w:rPr>
              <w:t>藥效降低</w:t>
            </w:r>
            <w:r w:rsidR="00630A37" w:rsidRPr="00205464">
              <w:rPr>
                <w:rFonts w:ascii="Arial" w:eastAsia="標楷體" w:hAnsi="Arial" w:cs="Arial"/>
              </w:rPr>
              <w:t>之</w:t>
            </w:r>
            <w:r w:rsidR="00630A37" w:rsidRPr="00205464">
              <w:rPr>
                <w:rFonts w:ascii="Arial" w:eastAsia="標楷體" w:hAnsi="Arial" w:cs="Arial"/>
                <w:color w:val="222222"/>
              </w:rPr>
              <w:t>風險</w:t>
            </w:r>
            <w:r w:rsidR="00BC1D28" w:rsidRPr="00205464">
              <w:rPr>
                <w:rFonts w:ascii="Arial" w:eastAsia="標楷體" w:hAnsi="Arial" w:cs="Arial"/>
                <w:color w:val="222222"/>
              </w:rPr>
              <w:t>。</w:t>
            </w:r>
          </w:p>
          <w:p w:rsidR="007079F1" w:rsidRPr="00205464" w:rsidRDefault="00821062" w:rsidP="00205464">
            <w:pPr>
              <w:pStyle w:val="m-4432429833575846576m-9066279047794864691gmail-m4579433379537909631gmail-msolistparagraph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317" w:hanging="317"/>
              <w:jc w:val="both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</w:rPr>
              <w:t>故</w:t>
            </w:r>
            <w:r w:rsidR="00BC1D28" w:rsidRPr="00205464">
              <w:rPr>
                <w:rFonts w:ascii="Arial" w:eastAsia="標楷體" w:hAnsi="Arial" w:cs="Arial"/>
                <w:bCs/>
                <w:color w:val="000000"/>
              </w:rPr>
              <w:t>依據</w:t>
            </w:r>
            <w:r w:rsidR="00BC1D28" w:rsidRPr="00205464">
              <w:rPr>
                <w:rFonts w:ascii="Arial" w:eastAsia="標楷體" w:hAnsi="Arial" w:cs="Arial"/>
                <w:color w:val="000000" w:themeColor="text1"/>
              </w:rPr>
              <w:t>含</w:t>
            </w:r>
            <w:r w:rsidR="00BC1D28" w:rsidRPr="00205464">
              <w:rPr>
                <w:rFonts w:ascii="Arial" w:eastAsia="標楷體" w:hAnsi="Arial" w:cs="Arial"/>
              </w:rPr>
              <w:t>SPS</w:t>
            </w:r>
            <w:r w:rsidR="00BC1D28" w:rsidRPr="00205464">
              <w:rPr>
                <w:rFonts w:ascii="Arial" w:eastAsia="標楷體" w:hAnsi="Arial" w:cs="Arial"/>
              </w:rPr>
              <w:t>成分藥品</w:t>
            </w:r>
            <w:r w:rsidR="00BC1D28" w:rsidRPr="00205464">
              <w:rPr>
                <w:rFonts w:ascii="Arial" w:eastAsia="標楷體" w:hAnsi="Arial" w:cs="Arial"/>
                <w:bCs/>
                <w:color w:val="000000"/>
              </w:rPr>
              <w:t>與</w:t>
            </w:r>
            <w:r w:rsidR="007079F1" w:rsidRPr="00205464">
              <w:rPr>
                <w:rFonts w:ascii="Arial" w:eastAsia="標楷體" w:hAnsi="Arial" w:cs="Arial"/>
                <w:bCs/>
                <w:color w:val="000000"/>
              </w:rPr>
              <w:t>其他</w:t>
            </w:r>
            <w:r w:rsidR="00BC1D28" w:rsidRPr="00205464">
              <w:rPr>
                <w:rFonts w:ascii="Arial" w:eastAsia="標楷體" w:hAnsi="Arial" w:cs="Arial"/>
                <w:bCs/>
                <w:color w:val="000000"/>
              </w:rPr>
              <w:t>口服藥品</w:t>
            </w:r>
            <w:r w:rsidR="007079F1" w:rsidRPr="00205464">
              <w:rPr>
                <w:rFonts w:ascii="Arial" w:eastAsia="標楷體" w:hAnsi="Arial" w:cs="Arial"/>
                <w:bCs/>
                <w:color w:val="000000"/>
              </w:rPr>
              <w:t>之</w:t>
            </w:r>
            <w:proofErr w:type="gramStart"/>
            <w:r w:rsidR="007079F1" w:rsidRPr="00205464">
              <w:rPr>
                <w:rFonts w:ascii="Arial" w:eastAsia="標楷體" w:hAnsi="Arial" w:cs="Arial"/>
                <w:bCs/>
                <w:color w:val="000000"/>
              </w:rPr>
              <w:t>預估胃排空</w:t>
            </w:r>
            <w:proofErr w:type="gramEnd"/>
            <w:r w:rsidR="007079F1" w:rsidRPr="00205464">
              <w:rPr>
                <w:rFonts w:ascii="Arial" w:eastAsia="標楷體" w:hAnsi="Arial" w:cs="Arial"/>
                <w:bCs/>
                <w:color w:val="000000"/>
              </w:rPr>
              <w:t>時間</w:t>
            </w:r>
            <w:r w:rsidR="00BC1D28" w:rsidRPr="00205464">
              <w:rPr>
                <w:rFonts w:ascii="Arial" w:eastAsia="標楷體" w:hAnsi="Arial" w:cs="Arial"/>
                <w:bCs/>
                <w:color w:val="000000"/>
              </w:rPr>
              <w:t>，建議</w:t>
            </w:r>
            <w:r w:rsidR="007079F1" w:rsidRPr="00205464">
              <w:rPr>
                <w:rFonts w:ascii="Arial" w:eastAsia="標楷體" w:hAnsi="Arial" w:cs="Arial"/>
                <w:color w:val="000000" w:themeColor="text1"/>
              </w:rPr>
              <w:t>含</w:t>
            </w:r>
            <w:r w:rsidR="007079F1" w:rsidRPr="00205464">
              <w:rPr>
                <w:rFonts w:ascii="Arial" w:eastAsia="標楷體" w:hAnsi="Arial" w:cs="Arial"/>
              </w:rPr>
              <w:t>SPS</w:t>
            </w:r>
            <w:r w:rsidR="007079F1" w:rsidRPr="00205464">
              <w:rPr>
                <w:rFonts w:ascii="Arial" w:eastAsia="標楷體" w:hAnsi="Arial" w:cs="Arial"/>
              </w:rPr>
              <w:t>成分藥品</w:t>
            </w:r>
            <w:r w:rsidR="00BC1D28" w:rsidRPr="00205464">
              <w:rPr>
                <w:rFonts w:ascii="Arial" w:eastAsia="標楷體" w:hAnsi="Arial" w:cs="Arial"/>
                <w:bCs/>
                <w:color w:val="000000"/>
              </w:rPr>
              <w:t>應與其他口服藥品間隔至少</w:t>
            </w:r>
            <w:r w:rsidR="00BC1D28" w:rsidRPr="00205464">
              <w:rPr>
                <w:rFonts w:ascii="Arial" w:eastAsia="標楷體" w:hAnsi="Arial" w:cs="Arial"/>
                <w:bCs/>
                <w:color w:val="000000"/>
              </w:rPr>
              <w:t>3</w:t>
            </w:r>
            <w:r w:rsidR="00BC1D28" w:rsidRPr="00205464">
              <w:rPr>
                <w:rFonts w:ascii="Arial" w:eastAsia="標楷體" w:hAnsi="Arial" w:cs="Arial"/>
                <w:bCs/>
                <w:color w:val="000000"/>
              </w:rPr>
              <w:t>小時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服用</w:t>
            </w:r>
            <w:r w:rsidR="007D61BC">
              <w:rPr>
                <w:rFonts w:ascii="Arial" w:eastAsia="標楷體" w:hAnsi="Arial" w:cs="Arial" w:hint="eastAsia"/>
                <w:color w:val="222222"/>
              </w:rPr>
              <w:t>，</w:t>
            </w:r>
            <w:r w:rsidR="00890CF2" w:rsidRPr="00205464">
              <w:rPr>
                <w:rFonts w:ascii="Arial" w:eastAsia="標楷體" w:hAnsi="Arial" w:cs="Arial"/>
                <w:color w:val="222222"/>
              </w:rPr>
              <w:t>如</w:t>
            </w:r>
            <w:r w:rsidR="007079F1" w:rsidRPr="00205464">
              <w:rPr>
                <w:rFonts w:ascii="Arial" w:eastAsia="標楷體" w:hAnsi="Arial" w:cs="Arial"/>
                <w:color w:val="222222"/>
              </w:rPr>
              <w:t>患有</w:t>
            </w:r>
            <w:proofErr w:type="gramStart"/>
            <w:r w:rsidR="007079F1" w:rsidRPr="00205464">
              <w:rPr>
                <w:rFonts w:ascii="Arial" w:eastAsia="標楷體" w:hAnsi="Arial" w:cs="Arial"/>
                <w:color w:val="222222"/>
              </w:rPr>
              <w:t>胃輕癱</w:t>
            </w:r>
            <w:r w:rsidR="007079F1" w:rsidRPr="00205464">
              <w:rPr>
                <w:rFonts w:ascii="Arial" w:eastAsia="標楷體" w:hAnsi="Arial" w:cs="Arial"/>
                <w:bCs/>
                <w:color w:val="000000"/>
              </w:rPr>
              <w:t>或</w:t>
            </w:r>
            <w:proofErr w:type="gramEnd"/>
            <w:r w:rsidR="007079F1" w:rsidRPr="00205464">
              <w:rPr>
                <w:rFonts w:ascii="Arial" w:eastAsia="標楷體" w:hAnsi="Arial" w:cs="Arial"/>
                <w:bCs/>
                <w:color w:val="000000"/>
              </w:rPr>
              <w:t>其他</w:t>
            </w:r>
            <w:proofErr w:type="gramStart"/>
            <w:r w:rsidR="007079F1" w:rsidRPr="00205464">
              <w:rPr>
                <w:rFonts w:ascii="Arial" w:eastAsia="標楷體" w:hAnsi="Arial" w:cs="Arial"/>
                <w:bCs/>
                <w:color w:val="000000"/>
              </w:rPr>
              <w:t>延遲胃排空</w:t>
            </w:r>
            <w:proofErr w:type="gramEnd"/>
            <w:r w:rsidR="007079F1" w:rsidRPr="00205464">
              <w:rPr>
                <w:rFonts w:ascii="Arial" w:eastAsia="標楷體" w:hAnsi="Arial" w:cs="Arial"/>
                <w:bCs/>
                <w:color w:val="000000"/>
              </w:rPr>
              <w:t>之疾病，則服用間隔應延</w:t>
            </w:r>
            <w:r>
              <w:rPr>
                <w:rFonts w:ascii="Arial" w:eastAsia="標楷體" w:hAnsi="Arial" w:cs="Arial" w:hint="eastAsia"/>
                <w:bCs/>
                <w:color w:val="000000"/>
              </w:rPr>
              <w:t>長</w:t>
            </w:r>
            <w:r w:rsidR="007079F1" w:rsidRPr="00205464">
              <w:rPr>
                <w:rFonts w:ascii="Arial" w:eastAsia="標楷體" w:hAnsi="Arial" w:cs="Arial"/>
                <w:bCs/>
                <w:color w:val="000000"/>
              </w:rPr>
              <w:t>至</w:t>
            </w:r>
            <w:r w:rsidR="007079F1" w:rsidRPr="00205464">
              <w:rPr>
                <w:rFonts w:ascii="Arial" w:eastAsia="標楷體" w:hAnsi="Arial" w:cs="Arial"/>
                <w:color w:val="222222"/>
              </w:rPr>
              <w:t>6</w:t>
            </w:r>
            <w:r w:rsidR="007079F1" w:rsidRPr="00205464">
              <w:rPr>
                <w:rFonts w:ascii="Arial" w:eastAsia="標楷體" w:hAnsi="Arial" w:cs="Arial"/>
                <w:color w:val="222222"/>
              </w:rPr>
              <w:t>小時，以降低該風險</w:t>
            </w:r>
            <w:r w:rsidR="007079F1" w:rsidRPr="00205464">
              <w:rPr>
                <w:rFonts w:ascii="Arial" w:eastAsia="標楷體" w:hAnsi="Arial" w:cs="Arial"/>
                <w:bCs/>
                <w:color w:val="000000"/>
              </w:rPr>
              <w:t>。</w:t>
            </w:r>
          </w:p>
          <w:p w:rsidR="009B09E6" w:rsidRPr="00205464" w:rsidRDefault="00890CF2" w:rsidP="00205464">
            <w:pPr>
              <w:pStyle w:val="m-4432429833575846576m-9066279047794864691gmail-m4579433379537909631gmail-msolistparagraph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317" w:hanging="317"/>
              <w:jc w:val="both"/>
              <w:rPr>
                <w:rFonts w:ascii="Arial" w:eastAsia="標楷體" w:hAnsi="Arial" w:cs="Arial"/>
                <w:bCs/>
                <w:color w:val="000000"/>
              </w:rPr>
            </w:pPr>
            <w:r w:rsidRPr="00205464">
              <w:rPr>
                <w:rFonts w:ascii="Arial" w:eastAsia="標楷體" w:hAnsi="Arial" w:cs="Arial"/>
                <w:bCs/>
                <w:color w:val="000000"/>
              </w:rPr>
              <w:t>美國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FDA</w:t>
            </w:r>
            <w:r w:rsidR="00BC1D28" w:rsidRPr="00205464">
              <w:rPr>
                <w:rFonts w:ascii="Arial" w:eastAsia="標楷體" w:hAnsi="Arial" w:cs="Arial"/>
                <w:bCs/>
                <w:color w:val="000000"/>
              </w:rPr>
              <w:t>將更新仿單</w:t>
            </w:r>
            <w:r w:rsidR="00EB396B" w:rsidRPr="00205464">
              <w:rPr>
                <w:rFonts w:ascii="Arial" w:eastAsia="標楷體" w:hAnsi="Arial" w:cs="Arial"/>
                <w:bCs/>
                <w:color w:val="000000"/>
              </w:rPr>
              <w:t>以</w:t>
            </w:r>
            <w:r w:rsidR="00BC1D28" w:rsidRPr="00205464">
              <w:rPr>
                <w:rFonts w:ascii="Arial" w:eastAsia="標楷體" w:hAnsi="Arial" w:cs="Arial"/>
                <w:bCs/>
                <w:color w:val="000000"/>
              </w:rPr>
              <w:t>包含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上述</w:t>
            </w:r>
            <w:r w:rsidR="00BC1D28" w:rsidRPr="00205464">
              <w:rPr>
                <w:rFonts w:ascii="Arial" w:eastAsia="標楷體" w:hAnsi="Arial" w:cs="Arial"/>
                <w:bCs/>
                <w:color w:val="000000"/>
              </w:rPr>
              <w:t>安全資訊。</w:t>
            </w:r>
          </w:p>
        </w:tc>
      </w:tr>
      <w:tr w:rsidR="00C10AA8" w:rsidRPr="00205464" w:rsidTr="00CD47ED">
        <w:trPr>
          <w:trHeight w:val="841"/>
          <w:jc w:val="center"/>
        </w:trPr>
        <w:tc>
          <w:tcPr>
            <w:tcW w:w="2173" w:type="dxa"/>
            <w:vAlign w:val="center"/>
          </w:tcPr>
          <w:p w:rsidR="003A0C0B" w:rsidRPr="00205464" w:rsidRDefault="003A0C0B" w:rsidP="0020546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05464">
              <w:rPr>
                <w:rFonts w:ascii="Arial" w:eastAsia="標楷體" w:hAnsi="Arial" w:cs="Arial"/>
                <w:szCs w:val="24"/>
              </w:rPr>
              <w:t>食品藥物管理署</w:t>
            </w:r>
          </w:p>
          <w:p w:rsidR="00C10AA8" w:rsidRPr="00205464" w:rsidRDefault="003A0C0B" w:rsidP="0020546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05464">
              <w:rPr>
                <w:rFonts w:ascii="Arial" w:eastAsia="標楷體" w:hAnsi="Arial" w:cs="Arial"/>
                <w:szCs w:val="24"/>
              </w:rPr>
              <w:t>風險溝通說明</w:t>
            </w:r>
          </w:p>
        </w:tc>
        <w:tc>
          <w:tcPr>
            <w:tcW w:w="7556" w:type="dxa"/>
          </w:tcPr>
          <w:p w:rsidR="008B199B" w:rsidRPr="00205464" w:rsidRDefault="008B199B" w:rsidP="00205464">
            <w:pPr>
              <w:pStyle w:val="a9"/>
              <w:numPr>
                <w:ilvl w:val="0"/>
                <w:numId w:val="2"/>
              </w:numPr>
              <w:spacing w:beforeLines="50" w:before="180"/>
              <w:ind w:leftChars="0" w:hanging="357"/>
              <w:jc w:val="both"/>
              <w:rPr>
                <w:rFonts w:ascii="Arial" w:eastAsia="標楷體" w:hAnsi="Arial" w:cs="Arial"/>
                <w:szCs w:val="24"/>
              </w:rPr>
            </w:pPr>
            <w:r w:rsidRPr="00205464">
              <w:rPr>
                <w:rFonts w:ascii="Arial" w:eastAsia="標楷體" w:hAnsi="Arial" w:cs="Arial"/>
                <w:b/>
                <w:szCs w:val="24"/>
              </w:rPr>
              <w:t>食品藥物管理署說明：</w:t>
            </w:r>
          </w:p>
          <w:p w:rsidR="006E4D95" w:rsidRPr="006E4D95" w:rsidRDefault="008C2A9E" w:rsidP="00205464">
            <w:pPr>
              <w:pStyle w:val="m-4432429833575846576m-9066279047794864691gmail-m4579433379537909631gmail-msolist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317" w:hanging="317"/>
              <w:jc w:val="both"/>
              <w:rPr>
                <w:rFonts w:ascii="Arial" w:eastAsia="標楷體" w:hAnsi="Arial" w:cs="Arial"/>
                <w:color w:val="222222"/>
              </w:rPr>
            </w:pPr>
            <w:r w:rsidRPr="00205464">
              <w:rPr>
                <w:rFonts w:ascii="Arial" w:eastAsia="標楷體" w:hAnsi="Arial" w:cs="Arial"/>
              </w:rPr>
              <w:t>經查，我國核准含</w:t>
            </w:r>
            <w:r w:rsidRPr="00205464">
              <w:rPr>
                <w:rFonts w:ascii="Arial" w:eastAsia="標楷體" w:hAnsi="Arial" w:cs="Arial"/>
              </w:rPr>
              <w:t>SPS</w:t>
            </w:r>
            <w:r w:rsidRPr="00205464">
              <w:rPr>
                <w:rFonts w:ascii="Arial" w:eastAsia="標楷體" w:hAnsi="Arial" w:cs="Arial"/>
              </w:rPr>
              <w:t>成分藥品之中文仿單</w:t>
            </w:r>
            <w:r w:rsidR="00890CF2" w:rsidRPr="00205464">
              <w:rPr>
                <w:rFonts w:ascii="Arial" w:eastAsia="標楷體" w:hAnsi="Arial" w:cs="Arial"/>
              </w:rPr>
              <w:t>已於「藥物交互作用」項刊載不建議</w:t>
            </w:r>
            <w:proofErr w:type="gramStart"/>
            <w:r w:rsidR="00890CF2" w:rsidRPr="00205464">
              <w:rPr>
                <w:rFonts w:ascii="Arial" w:eastAsia="標楷體" w:hAnsi="Arial" w:cs="Arial"/>
              </w:rPr>
              <w:t>併</w:t>
            </w:r>
            <w:proofErr w:type="gramEnd"/>
            <w:r w:rsidR="00890CF2" w:rsidRPr="00205464">
              <w:rPr>
                <w:rFonts w:ascii="Arial" w:eastAsia="標楷體" w:hAnsi="Arial" w:cs="Arial"/>
              </w:rPr>
              <w:t>用及</w:t>
            </w:r>
            <w:proofErr w:type="gramStart"/>
            <w:r w:rsidR="00890CF2" w:rsidRPr="00205464">
              <w:rPr>
                <w:rFonts w:ascii="Arial" w:eastAsia="標楷體" w:hAnsi="Arial" w:cs="Arial"/>
              </w:rPr>
              <w:t>併</w:t>
            </w:r>
            <w:proofErr w:type="gramEnd"/>
            <w:r w:rsidR="00890CF2" w:rsidRPr="00205464">
              <w:rPr>
                <w:rFonts w:ascii="Arial" w:eastAsia="標楷體" w:hAnsi="Arial" w:cs="Arial"/>
              </w:rPr>
              <w:t>用時應小心之藥品，惟未提及</w:t>
            </w:r>
            <w:r w:rsidR="006E4D95" w:rsidRPr="00205464">
              <w:rPr>
                <w:rFonts w:ascii="Arial" w:eastAsia="標楷體" w:hAnsi="Arial" w:cs="Arial"/>
                <w:color w:val="222222"/>
              </w:rPr>
              <w:t>可能與許多其他口服藥品結合，</w:t>
            </w:r>
            <w:r w:rsidR="006E4D95" w:rsidRPr="00205464">
              <w:rPr>
                <w:rFonts w:ascii="Arial" w:eastAsia="標楷體" w:hAnsi="Arial" w:cs="Arial"/>
              </w:rPr>
              <w:t>導致其他口服藥品吸收降低因而藥效降低之</w:t>
            </w:r>
            <w:r w:rsidR="006E4D95" w:rsidRPr="00205464">
              <w:rPr>
                <w:rFonts w:ascii="Arial" w:eastAsia="標楷體" w:hAnsi="Arial" w:cs="Arial"/>
                <w:color w:val="222222"/>
              </w:rPr>
              <w:t>風險</w:t>
            </w:r>
            <w:r w:rsidR="006E4D95">
              <w:rPr>
                <w:rFonts w:ascii="Arial" w:eastAsia="標楷體" w:hAnsi="Arial" w:cs="Arial" w:hint="eastAsia"/>
                <w:color w:val="222222"/>
              </w:rPr>
              <w:t>，</w:t>
            </w:r>
            <w:r w:rsidR="006E4D95" w:rsidRPr="00205464">
              <w:rPr>
                <w:rFonts w:ascii="Arial" w:eastAsia="標楷體" w:hAnsi="Arial" w:cs="Arial"/>
                <w:bCs/>
                <w:color w:val="000000"/>
              </w:rPr>
              <w:t>應與其他口服藥品間隔至少</w:t>
            </w:r>
            <w:r w:rsidR="006E4D95" w:rsidRPr="00205464">
              <w:rPr>
                <w:rFonts w:ascii="Arial" w:eastAsia="標楷體" w:hAnsi="Arial" w:cs="Arial"/>
                <w:bCs/>
                <w:color w:val="000000"/>
              </w:rPr>
              <w:t>3</w:t>
            </w:r>
            <w:r w:rsidR="006E4D95" w:rsidRPr="00205464">
              <w:rPr>
                <w:rFonts w:ascii="Arial" w:eastAsia="標楷體" w:hAnsi="Arial" w:cs="Arial"/>
                <w:bCs/>
                <w:color w:val="000000"/>
              </w:rPr>
              <w:t>小時服用</w:t>
            </w:r>
            <w:r w:rsidR="006E4D95">
              <w:rPr>
                <w:rFonts w:ascii="Arial" w:eastAsia="標楷體" w:hAnsi="Arial" w:cs="Arial" w:hint="eastAsia"/>
                <w:color w:val="222222"/>
              </w:rPr>
              <w:t>，</w:t>
            </w:r>
            <w:r w:rsidR="006E4D95" w:rsidRPr="00205464">
              <w:rPr>
                <w:rFonts w:ascii="Arial" w:eastAsia="標楷體" w:hAnsi="Arial" w:cs="Arial"/>
                <w:color w:val="222222"/>
              </w:rPr>
              <w:t>以降低該風險</w:t>
            </w:r>
            <w:r w:rsidR="006E4D95" w:rsidRPr="00205464">
              <w:rPr>
                <w:rFonts w:ascii="Arial" w:eastAsia="標楷體" w:hAnsi="Arial" w:cs="Arial"/>
                <w:bCs/>
                <w:color w:val="000000"/>
              </w:rPr>
              <w:t>。</w:t>
            </w:r>
          </w:p>
          <w:p w:rsidR="008C2A9E" w:rsidRPr="00205464" w:rsidRDefault="008C2A9E" w:rsidP="00205464">
            <w:pPr>
              <w:pStyle w:val="m-4432429833575846576m-9066279047794864691gmail-m4579433379537909631gmail-msolist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317" w:hanging="317"/>
              <w:jc w:val="both"/>
              <w:rPr>
                <w:rFonts w:ascii="Arial" w:eastAsia="標楷體" w:hAnsi="Arial" w:cs="Arial"/>
                <w:color w:val="222222"/>
              </w:rPr>
            </w:pPr>
            <w:r w:rsidRPr="00205464">
              <w:rPr>
                <w:rFonts w:ascii="Arial" w:eastAsia="標楷體" w:hAnsi="Arial" w:cs="Arial"/>
              </w:rPr>
              <w:t>針對是否更新含</w:t>
            </w:r>
            <w:r w:rsidRPr="00205464">
              <w:rPr>
                <w:rFonts w:ascii="Arial" w:eastAsia="標楷體" w:hAnsi="Arial" w:cs="Arial"/>
              </w:rPr>
              <w:t>SPS</w:t>
            </w:r>
            <w:r w:rsidRPr="00205464">
              <w:rPr>
                <w:rFonts w:ascii="Arial" w:eastAsia="標楷體" w:hAnsi="Arial" w:cs="Arial"/>
              </w:rPr>
              <w:t>成分藥品之中文仿單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以包含上述安全資訊</w:t>
            </w:r>
            <w:r w:rsidRPr="00205464">
              <w:rPr>
                <w:rFonts w:ascii="Arial" w:eastAsia="標楷體" w:hAnsi="Arial" w:cs="Arial"/>
              </w:rPr>
              <w:t>，</w:t>
            </w:r>
            <w:proofErr w:type="gramStart"/>
            <w:r w:rsidRPr="00205464">
              <w:rPr>
                <w:rFonts w:ascii="Arial" w:eastAsia="標楷體" w:hAnsi="Arial" w:cs="Arial"/>
              </w:rPr>
              <w:t>本署現</w:t>
            </w:r>
            <w:proofErr w:type="gramEnd"/>
            <w:r w:rsidRPr="00205464">
              <w:rPr>
                <w:rFonts w:ascii="Arial" w:eastAsia="標楷體" w:hAnsi="Arial" w:cs="Arial"/>
              </w:rPr>
              <w:t>正評估中。</w:t>
            </w:r>
          </w:p>
          <w:p w:rsidR="00B63D3E" w:rsidRPr="00205464" w:rsidRDefault="00B63D3E" w:rsidP="00205464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ind w:hanging="357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205464">
              <w:rPr>
                <w:rFonts w:ascii="Arial" w:eastAsia="標楷體" w:hAnsi="Arial" w:cs="Arial"/>
                <w:b/>
                <w:bCs/>
                <w:color w:val="000000"/>
                <w:u w:val="single"/>
              </w:rPr>
              <w:t>醫療人員</w:t>
            </w:r>
            <w:r w:rsidRPr="00205464">
              <w:rPr>
                <w:rFonts w:ascii="Arial" w:eastAsia="標楷體" w:hAnsi="Arial" w:cs="Arial"/>
                <w:b/>
                <w:color w:val="000000"/>
              </w:rPr>
              <w:t>應注意事項：</w:t>
            </w:r>
          </w:p>
          <w:p w:rsidR="00890CF2" w:rsidRPr="00205464" w:rsidRDefault="00131F77" w:rsidP="00205464">
            <w:pPr>
              <w:pStyle w:val="Web"/>
              <w:spacing w:before="0" w:beforeAutospacing="0" w:after="0" w:afterAutospacing="0"/>
              <w:ind w:leftChars="132" w:left="317"/>
              <w:jc w:val="both"/>
              <w:rPr>
                <w:rFonts w:ascii="Arial" w:eastAsia="標楷體" w:hAnsi="Arial" w:cs="Arial"/>
                <w:color w:val="222222"/>
              </w:rPr>
            </w:pPr>
            <w:r w:rsidRPr="00205464">
              <w:rPr>
                <w:rFonts w:ascii="Arial" w:eastAsia="標楷體" w:hAnsi="Arial" w:cs="Arial"/>
                <w:bCs/>
                <w:color w:val="000000"/>
              </w:rPr>
              <w:t>處方</w:t>
            </w:r>
            <w:r w:rsidR="00890CF2" w:rsidRPr="00205464">
              <w:rPr>
                <w:rFonts w:ascii="Arial" w:eastAsia="標楷體" w:hAnsi="Arial" w:cs="Arial"/>
                <w:color w:val="000000" w:themeColor="text1"/>
              </w:rPr>
              <w:t>含</w:t>
            </w:r>
            <w:r w:rsidR="00890CF2" w:rsidRPr="00205464">
              <w:rPr>
                <w:rFonts w:ascii="Arial" w:eastAsia="標楷體" w:hAnsi="Arial" w:cs="Arial"/>
              </w:rPr>
              <w:t>SPS</w:t>
            </w:r>
            <w:r w:rsidR="00890CF2" w:rsidRPr="00205464">
              <w:rPr>
                <w:rFonts w:ascii="Arial" w:eastAsia="標楷體" w:hAnsi="Arial" w:cs="Arial"/>
              </w:rPr>
              <w:t>成分藥品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時</w:t>
            </w:r>
            <w:r w:rsidR="00890CF2" w:rsidRPr="00205464">
              <w:rPr>
                <w:rFonts w:ascii="Arial" w:eastAsia="標楷體" w:hAnsi="Arial" w:cs="Arial"/>
                <w:bCs/>
                <w:color w:val="000000"/>
              </w:rPr>
              <w:t>，</w:t>
            </w:r>
            <w:r w:rsidRPr="00205464">
              <w:rPr>
                <w:rFonts w:ascii="Arial" w:eastAsia="標楷體" w:hAnsi="Arial" w:cs="Arial"/>
                <w:bCs/>
                <w:color w:val="000000"/>
              </w:rPr>
              <w:t>應提醒</w:t>
            </w:r>
            <w:r w:rsidR="008C2A9E" w:rsidRPr="00205464">
              <w:rPr>
                <w:rFonts w:ascii="Arial" w:eastAsia="標楷體" w:hAnsi="Arial" w:cs="Arial"/>
                <w:color w:val="222222"/>
              </w:rPr>
              <w:t>病人</w:t>
            </w:r>
            <w:r w:rsidR="00890CF2" w:rsidRPr="00205464">
              <w:rPr>
                <w:rFonts w:ascii="Arial" w:eastAsia="標楷體" w:hAnsi="Arial" w:cs="Arial"/>
                <w:color w:val="000000" w:themeColor="text1"/>
              </w:rPr>
              <w:t>該</w:t>
            </w:r>
            <w:r w:rsidR="00890CF2" w:rsidRPr="00205464">
              <w:rPr>
                <w:rFonts w:ascii="Arial" w:eastAsia="標楷體" w:hAnsi="Arial" w:cs="Arial"/>
              </w:rPr>
              <w:t>藥品</w:t>
            </w:r>
            <w:r w:rsidR="00890CF2" w:rsidRPr="00205464">
              <w:rPr>
                <w:rFonts w:ascii="Arial" w:eastAsia="標楷體" w:hAnsi="Arial" w:cs="Arial"/>
                <w:bCs/>
                <w:color w:val="000000"/>
              </w:rPr>
              <w:t>應與其他口服藥品間隔至少</w:t>
            </w:r>
            <w:r w:rsidR="00890CF2" w:rsidRPr="00205464">
              <w:rPr>
                <w:rFonts w:ascii="Arial" w:eastAsia="標楷體" w:hAnsi="Arial" w:cs="Arial"/>
                <w:bCs/>
                <w:color w:val="000000"/>
              </w:rPr>
              <w:t>3</w:t>
            </w:r>
            <w:r w:rsidR="00890CF2" w:rsidRPr="00205464">
              <w:rPr>
                <w:rFonts w:ascii="Arial" w:eastAsia="標楷體" w:hAnsi="Arial" w:cs="Arial"/>
                <w:bCs/>
                <w:color w:val="000000"/>
              </w:rPr>
              <w:t>小時</w:t>
            </w:r>
            <w:r w:rsidR="00335E94" w:rsidRPr="00205464">
              <w:rPr>
                <w:rFonts w:ascii="Arial" w:eastAsia="標楷體" w:hAnsi="Arial" w:cs="Arial"/>
                <w:bCs/>
                <w:color w:val="000000"/>
              </w:rPr>
              <w:t>服用</w:t>
            </w:r>
            <w:r w:rsidR="00890CF2" w:rsidRPr="00205464">
              <w:rPr>
                <w:rFonts w:ascii="Arial" w:eastAsia="標楷體" w:hAnsi="Arial" w:cs="Arial"/>
                <w:color w:val="222222"/>
              </w:rPr>
              <w:t>，如</w:t>
            </w:r>
            <w:r w:rsidR="008C2A9E" w:rsidRPr="00205464">
              <w:rPr>
                <w:rFonts w:ascii="Arial" w:eastAsia="標楷體" w:hAnsi="Arial" w:cs="Arial"/>
                <w:color w:val="222222"/>
              </w:rPr>
              <w:t>病人</w:t>
            </w:r>
            <w:r w:rsidR="00890CF2" w:rsidRPr="00205464">
              <w:rPr>
                <w:rFonts w:ascii="Arial" w:eastAsia="標楷體" w:hAnsi="Arial" w:cs="Arial"/>
                <w:color w:val="222222"/>
              </w:rPr>
              <w:t>患有</w:t>
            </w:r>
            <w:proofErr w:type="gramStart"/>
            <w:r w:rsidR="00890CF2" w:rsidRPr="00205464">
              <w:rPr>
                <w:rFonts w:ascii="Arial" w:eastAsia="標楷體" w:hAnsi="Arial" w:cs="Arial"/>
                <w:color w:val="222222"/>
              </w:rPr>
              <w:t>胃輕癱</w:t>
            </w:r>
            <w:r w:rsidR="00890CF2" w:rsidRPr="00205464">
              <w:rPr>
                <w:rFonts w:ascii="Arial" w:eastAsia="標楷體" w:hAnsi="Arial" w:cs="Arial"/>
                <w:bCs/>
                <w:color w:val="000000"/>
              </w:rPr>
              <w:t>或</w:t>
            </w:r>
            <w:proofErr w:type="gramEnd"/>
            <w:r w:rsidR="00890CF2" w:rsidRPr="00205464">
              <w:rPr>
                <w:rFonts w:ascii="Arial" w:eastAsia="標楷體" w:hAnsi="Arial" w:cs="Arial"/>
                <w:bCs/>
                <w:color w:val="000000"/>
              </w:rPr>
              <w:t>其他</w:t>
            </w:r>
            <w:proofErr w:type="gramStart"/>
            <w:r w:rsidR="00890CF2" w:rsidRPr="00205464">
              <w:rPr>
                <w:rFonts w:ascii="Arial" w:eastAsia="標楷體" w:hAnsi="Arial" w:cs="Arial"/>
                <w:bCs/>
                <w:color w:val="000000"/>
              </w:rPr>
              <w:t>延遲胃排空</w:t>
            </w:r>
            <w:proofErr w:type="gramEnd"/>
            <w:r w:rsidR="00890CF2" w:rsidRPr="00205464">
              <w:rPr>
                <w:rFonts w:ascii="Arial" w:eastAsia="標楷體" w:hAnsi="Arial" w:cs="Arial"/>
                <w:bCs/>
                <w:color w:val="000000"/>
              </w:rPr>
              <w:t>之疾病，則服用間隔應延</w:t>
            </w:r>
            <w:r w:rsidR="00335E94">
              <w:rPr>
                <w:rFonts w:ascii="Arial" w:eastAsia="標楷體" w:hAnsi="Arial" w:cs="Arial" w:hint="eastAsia"/>
                <w:bCs/>
                <w:color w:val="000000"/>
              </w:rPr>
              <w:t>長</w:t>
            </w:r>
            <w:r w:rsidR="00890CF2" w:rsidRPr="00205464">
              <w:rPr>
                <w:rFonts w:ascii="Arial" w:eastAsia="標楷體" w:hAnsi="Arial" w:cs="Arial"/>
                <w:bCs/>
                <w:color w:val="000000"/>
              </w:rPr>
              <w:t>至</w:t>
            </w:r>
            <w:r w:rsidR="00890CF2" w:rsidRPr="00205464">
              <w:rPr>
                <w:rFonts w:ascii="Arial" w:eastAsia="標楷體" w:hAnsi="Arial" w:cs="Arial"/>
                <w:color w:val="222222"/>
              </w:rPr>
              <w:t>6</w:t>
            </w:r>
            <w:r w:rsidR="00890CF2" w:rsidRPr="00205464">
              <w:rPr>
                <w:rFonts w:ascii="Arial" w:eastAsia="標楷體" w:hAnsi="Arial" w:cs="Arial"/>
                <w:color w:val="222222"/>
              </w:rPr>
              <w:t>小時。</w:t>
            </w:r>
          </w:p>
          <w:p w:rsidR="00B63D3E" w:rsidRPr="00205464" w:rsidRDefault="00B63D3E" w:rsidP="00205464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ind w:hanging="357"/>
              <w:jc w:val="both"/>
              <w:rPr>
                <w:rFonts w:ascii="Arial" w:eastAsia="標楷體" w:hAnsi="Arial" w:cs="Arial"/>
              </w:rPr>
            </w:pPr>
            <w:r w:rsidRPr="00205464">
              <w:rPr>
                <w:rFonts w:ascii="Arial" w:eastAsia="標楷體" w:hAnsi="Arial" w:cs="Arial"/>
                <w:b/>
                <w:bCs/>
                <w:u w:val="single"/>
              </w:rPr>
              <w:lastRenderedPageBreak/>
              <w:t>病人</w:t>
            </w:r>
            <w:r w:rsidRPr="00205464">
              <w:rPr>
                <w:rFonts w:ascii="Arial" w:eastAsia="標楷體" w:hAnsi="Arial" w:cs="Arial"/>
                <w:b/>
              </w:rPr>
              <w:t>應注意事項</w:t>
            </w:r>
            <w:r w:rsidRPr="00205464">
              <w:rPr>
                <w:rFonts w:ascii="Arial" w:eastAsia="標楷體" w:hAnsi="Arial" w:cs="Arial"/>
              </w:rPr>
              <w:t>：</w:t>
            </w:r>
          </w:p>
          <w:p w:rsidR="00B63D3E" w:rsidRPr="00205464" w:rsidRDefault="008C2A9E" w:rsidP="00205464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317" w:hanging="317"/>
              <w:jc w:val="both"/>
              <w:rPr>
                <w:rFonts w:ascii="Arial" w:eastAsia="標楷體" w:hAnsi="Arial" w:cs="Arial"/>
              </w:rPr>
            </w:pPr>
            <w:r w:rsidRPr="00205464">
              <w:rPr>
                <w:rFonts w:ascii="Arial" w:eastAsia="標楷體" w:hAnsi="Arial" w:cs="Arial"/>
                <w:color w:val="000000" w:themeColor="text1"/>
              </w:rPr>
              <w:t>含</w:t>
            </w:r>
            <w:r w:rsidRPr="00205464">
              <w:rPr>
                <w:rFonts w:ascii="Arial" w:eastAsia="標楷體" w:hAnsi="Arial" w:cs="Arial"/>
              </w:rPr>
              <w:t>SPS</w:t>
            </w:r>
            <w:r w:rsidRPr="00205464">
              <w:rPr>
                <w:rFonts w:ascii="Arial" w:eastAsia="標楷體" w:hAnsi="Arial" w:cs="Arial"/>
              </w:rPr>
              <w:t>成分藥品</w:t>
            </w:r>
            <w:r w:rsidR="00E52364" w:rsidRPr="00205464">
              <w:rPr>
                <w:rFonts w:ascii="Arial" w:eastAsia="標楷體" w:hAnsi="Arial" w:cs="Arial"/>
              </w:rPr>
              <w:t>應與</w:t>
            </w:r>
            <w:r w:rsidR="00734FB0" w:rsidRPr="00205464">
              <w:rPr>
                <w:rFonts w:ascii="Arial" w:eastAsia="標楷體" w:hAnsi="Arial" w:cs="Arial"/>
              </w:rPr>
              <w:t>其他</w:t>
            </w:r>
            <w:r w:rsidR="00B923D9" w:rsidRPr="00205464">
              <w:rPr>
                <w:rFonts w:ascii="Arial" w:eastAsia="標楷體" w:hAnsi="Arial" w:cs="Arial"/>
              </w:rPr>
              <w:t>處方或非處方之</w:t>
            </w:r>
            <w:r w:rsidR="00DD14F8" w:rsidRPr="00205464">
              <w:rPr>
                <w:rFonts w:ascii="Arial" w:eastAsia="標楷體" w:hAnsi="Arial" w:cs="Arial"/>
              </w:rPr>
              <w:t>口服藥品</w:t>
            </w:r>
            <w:r w:rsidR="00E52364" w:rsidRPr="00205464">
              <w:rPr>
                <w:rFonts w:ascii="Arial" w:eastAsia="標楷體" w:hAnsi="Arial" w:cs="Arial"/>
              </w:rPr>
              <w:t>間隔至少</w:t>
            </w:r>
            <w:r w:rsidR="00734FB0" w:rsidRPr="00205464">
              <w:rPr>
                <w:rFonts w:ascii="Arial" w:eastAsia="標楷體" w:hAnsi="Arial" w:cs="Arial"/>
              </w:rPr>
              <w:t>3</w:t>
            </w:r>
            <w:r w:rsidR="00E52364" w:rsidRPr="00205464">
              <w:rPr>
                <w:rFonts w:ascii="Arial" w:eastAsia="標楷體" w:hAnsi="Arial" w:cs="Arial"/>
              </w:rPr>
              <w:t>小</w:t>
            </w:r>
            <w:r w:rsidR="00DD14F8" w:rsidRPr="00205464">
              <w:rPr>
                <w:rFonts w:ascii="Arial" w:eastAsia="標楷體" w:hAnsi="Arial" w:cs="Arial"/>
              </w:rPr>
              <w:t>時</w:t>
            </w:r>
            <w:r w:rsidR="00335E94" w:rsidRPr="00205464">
              <w:rPr>
                <w:rFonts w:ascii="Arial" w:eastAsia="標楷體" w:hAnsi="Arial" w:cs="Arial"/>
              </w:rPr>
              <w:t>服用</w:t>
            </w:r>
            <w:r w:rsidR="00DD14F8" w:rsidRPr="00205464">
              <w:rPr>
                <w:rFonts w:ascii="Arial" w:eastAsia="標楷體" w:hAnsi="Arial" w:cs="Arial"/>
              </w:rPr>
              <w:t>。</w:t>
            </w:r>
          </w:p>
          <w:p w:rsidR="002B0CE6" w:rsidRPr="00205464" w:rsidRDefault="008C2A9E" w:rsidP="00205464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Chars="14" w:left="318" w:hanging="284"/>
              <w:jc w:val="both"/>
              <w:rPr>
                <w:rFonts w:ascii="Arial" w:eastAsia="標楷體" w:hAnsi="Arial" w:cs="Arial"/>
              </w:rPr>
            </w:pPr>
            <w:r w:rsidRPr="00205464">
              <w:rPr>
                <w:rFonts w:ascii="Arial" w:eastAsia="標楷體" w:hAnsi="Arial" w:cs="Arial"/>
              </w:rPr>
              <w:t>若有任何疑問請諮詢醫療人員，切勿於諮詢醫療人員前自行停藥。</w:t>
            </w:r>
          </w:p>
          <w:p w:rsidR="00F3622B" w:rsidRPr="00205464" w:rsidRDefault="00B63D3E" w:rsidP="00205464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ind w:hanging="357"/>
              <w:jc w:val="both"/>
              <w:rPr>
                <w:rFonts w:ascii="Arial" w:eastAsia="標楷體" w:hAnsi="Arial" w:cs="Arial"/>
              </w:rPr>
            </w:pPr>
            <w:r w:rsidRPr="00205464">
              <w:rPr>
                <w:rFonts w:ascii="Arial" w:eastAsia="標楷體" w:hAnsi="Arial" w:cs="Arial"/>
              </w:rPr>
              <w:t>醫療人員或病人懷疑因為使用（服用）藥品導致不良反應發生時，請立即通報給衛生</w:t>
            </w:r>
            <w:proofErr w:type="gramStart"/>
            <w:r w:rsidRPr="00205464">
              <w:rPr>
                <w:rFonts w:ascii="Arial" w:eastAsia="標楷體" w:hAnsi="Arial" w:cs="Arial"/>
              </w:rPr>
              <w:t>福利部所建置</w:t>
            </w:r>
            <w:proofErr w:type="gramEnd"/>
            <w:r w:rsidRPr="00205464">
              <w:rPr>
                <w:rFonts w:ascii="Arial" w:eastAsia="標楷體" w:hAnsi="Arial" w:cs="Arial"/>
              </w:rPr>
              <w:t>之全國藥物不良反應通報中心，並副知所屬廠商，藥物不良反應通報專線</w:t>
            </w:r>
            <w:r w:rsidRPr="00205464">
              <w:rPr>
                <w:rFonts w:ascii="Arial" w:eastAsia="標楷體" w:hAnsi="Arial" w:cs="Arial"/>
              </w:rPr>
              <w:t>02-2396-0100</w:t>
            </w:r>
            <w:r w:rsidRPr="00205464">
              <w:rPr>
                <w:rFonts w:ascii="Arial" w:eastAsia="標楷體" w:hAnsi="Arial" w:cs="Arial"/>
              </w:rPr>
              <w:t>，網站：</w:t>
            </w:r>
            <w:hyperlink r:id="rId10" w:history="1">
              <w:r w:rsidRPr="00205464">
                <w:rPr>
                  <w:rStyle w:val="ab"/>
                  <w:rFonts w:ascii="Arial" w:eastAsia="標楷體" w:hAnsi="Arial" w:cs="Arial"/>
                </w:rPr>
                <w:t>https://adr.fda.gov.tw</w:t>
              </w:r>
            </w:hyperlink>
            <w:r w:rsidRPr="00205464">
              <w:rPr>
                <w:rFonts w:ascii="Arial" w:eastAsia="標楷體" w:hAnsi="Arial" w:cs="Arial"/>
              </w:rPr>
              <w:t>；衛生福利部食品藥物管理署獲知藥品安全訊息時，</w:t>
            </w:r>
            <w:proofErr w:type="gramStart"/>
            <w:r w:rsidRPr="00205464">
              <w:rPr>
                <w:rFonts w:ascii="Arial" w:eastAsia="標楷體" w:hAnsi="Arial" w:cs="Arial"/>
              </w:rPr>
              <w:t>均會蒐集</w:t>
            </w:r>
            <w:proofErr w:type="gramEnd"/>
            <w:r w:rsidRPr="00205464">
              <w:rPr>
                <w:rFonts w:ascii="Arial" w:eastAsia="標楷體" w:hAnsi="Arial" w:cs="Arial"/>
              </w:rPr>
              <w:t>彙整相關資料進行評估，並對於新增之藥品風險採取對應之風險管控措施。</w:t>
            </w:r>
          </w:p>
        </w:tc>
      </w:tr>
    </w:tbl>
    <w:p w:rsidR="00CD47ED" w:rsidRPr="003B56BC" w:rsidRDefault="00CD47ED" w:rsidP="00CD47ED"/>
    <w:sectPr w:rsidR="00CD47ED" w:rsidRPr="003B56BC" w:rsidSect="00996453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AD" w:rsidRDefault="000C19AD" w:rsidP="003B56BC">
      <w:r>
        <w:separator/>
      </w:r>
    </w:p>
  </w:endnote>
  <w:endnote w:type="continuationSeparator" w:id="0">
    <w:p w:rsidR="000C19AD" w:rsidRDefault="000C19AD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AD" w:rsidRDefault="000C19AD" w:rsidP="003B56BC">
      <w:r>
        <w:separator/>
      </w:r>
    </w:p>
  </w:footnote>
  <w:footnote w:type="continuationSeparator" w:id="0">
    <w:p w:rsidR="000C19AD" w:rsidRDefault="000C19AD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6FF8E6B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86353"/>
    <w:multiLevelType w:val="hybridMultilevel"/>
    <w:tmpl w:val="4DD4234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45D2E"/>
    <w:multiLevelType w:val="hybridMultilevel"/>
    <w:tmpl w:val="0E785D7A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0561D"/>
    <w:multiLevelType w:val="hybridMultilevel"/>
    <w:tmpl w:val="D86C454A"/>
    <w:lvl w:ilvl="0" w:tplc="0409000F">
      <w:start w:val="1"/>
      <w:numFmt w:val="decimal"/>
      <w:lvlText w:val="%1."/>
      <w:lvlJc w:val="left"/>
      <w:pPr>
        <w:ind w:left="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4">
    <w:nsid w:val="098012C2"/>
    <w:multiLevelType w:val="hybridMultilevel"/>
    <w:tmpl w:val="906C271E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09EE1A3C"/>
    <w:multiLevelType w:val="hybridMultilevel"/>
    <w:tmpl w:val="6A722000"/>
    <w:lvl w:ilvl="0" w:tplc="0409000B">
      <w:start w:val="1"/>
      <w:numFmt w:val="bullet"/>
      <w:lvlText w:val="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6">
    <w:nsid w:val="0A1A3AC6"/>
    <w:multiLevelType w:val="hybridMultilevel"/>
    <w:tmpl w:val="EDB851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81140"/>
    <w:multiLevelType w:val="hybridMultilevel"/>
    <w:tmpl w:val="BE9289F0"/>
    <w:lvl w:ilvl="0" w:tplc="52E0D3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EA0415"/>
    <w:multiLevelType w:val="hybridMultilevel"/>
    <w:tmpl w:val="8F342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00520E"/>
    <w:multiLevelType w:val="hybridMultilevel"/>
    <w:tmpl w:val="5F5E109E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6C06DE5"/>
    <w:multiLevelType w:val="hybridMultilevel"/>
    <w:tmpl w:val="712C18FE"/>
    <w:lvl w:ilvl="0" w:tplc="63DAFAF4">
      <w:start w:val="1"/>
      <w:numFmt w:val="lowerLetter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7223523"/>
    <w:multiLevelType w:val="hybridMultilevel"/>
    <w:tmpl w:val="7A36EA60"/>
    <w:lvl w:ilvl="0" w:tplc="2BBE83C2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E0623D"/>
    <w:multiLevelType w:val="hybridMultilevel"/>
    <w:tmpl w:val="0838AB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E7F12FD"/>
    <w:multiLevelType w:val="hybridMultilevel"/>
    <w:tmpl w:val="77603F70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802938"/>
    <w:multiLevelType w:val="hybridMultilevel"/>
    <w:tmpl w:val="7DC674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22E849D2"/>
    <w:multiLevelType w:val="hybridMultilevel"/>
    <w:tmpl w:val="A79EDC0E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6">
    <w:nsid w:val="292F36F3"/>
    <w:multiLevelType w:val="hybridMultilevel"/>
    <w:tmpl w:val="6874B950"/>
    <w:lvl w:ilvl="0" w:tplc="0409000F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7">
    <w:nsid w:val="2A1C3999"/>
    <w:multiLevelType w:val="hybridMultilevel"/>
    <w:tmpl w:val="C9A2E20C"/>
    <w:lvl w:ilvl="0" w:tplc="5164F0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484CD9"/>
    <w:multiLevelType w:val="hybridMultilevel"/>
    <w:tmpl w:val="CC9860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EF06171"/>
    <w:multiLevelType w:val="hybridMultilevel"/>
    <w:tmpl w:val="0082EE4A"/>
    <w:lvl w:ilvl="0" w:tplc="2BBE83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63ADD"/>
    <w:multiLevelType w:val="hybridMultilevel"/>
    <w:tmpl w:val="ED9E8F82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1">
    <w:nsid w:val="3B817CA0"/>
    <w:multiLevelType w:val="hybridMultilevel"/>
    <w:tmpl w:val="A192E4B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2">
    <w:nsid w:val="405368BF"/>
    <w:multiLevelType w:val="hybridMultilevel"/>
    <w:tmpl w:val="440CE5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07A40F3"/>
    <w:multiLevelType w:val="hybridMultilevel"/>
    <w:tmpl w:val="DC346CDC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784953"/>
    <w:multiLevelType w:val="hybridMultilevel"/>
    <w:tmpl w:val="839C65F2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EC6A4B"/>
    <w:multiLevelType w:val="hybridMultilevel"/>
    <w:tmpl w:val="04F0A722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80B2163"/>
    <w:multiLevelType w:val="hybridMultilevel"/>
    <w:tmpl w:val="F47AB16A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AC22AE1"/>
    <w:multiLevelType w:val="hybridMultilevel"/>
    <w:tmpl w:val="6E52B1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4C981707"/>
    <w:multiLevelType w:val="hybridMultilevel"/>
    <w:tmpl w:val="D3A03C62"/>
    <w:lvl w:ilvl="0" w:tplc="DE560608">
      <w:start w:val="1"/>
      <w:numFmt w:val="lowerLetter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6E9705B"/>
    <w:multiLevelType w:val="hybridMultilevel"/>
    <w:tmpl w:val="638AF9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A4A24FB"/>
    <w:multiLevelType w:val="hybridMultilevel"/>
    <w:tmpl w:val="FE12BE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B4705AB"/>
    <w:multiLevelType w:val="hybridMultilevel"/>
    <w:tmpl w:val="5CD858CA"/>
    <w:lvl w:ilvl="0" w:tplc="990E5D48">
      <w:start w:val="1"/>
      <w:numFmt w:val="decimal"/>
      <w:lvlText w:val="%1."/>
      <w:lvlJc w:val="left"/>
      <w:pPr>
        <w:ind w:left="82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F330CE"/>
    <w:multiLevelType w:val="hybridMultilevel"/>
    <w:tmpl w:val="29DE7F68"/>
    <w:lvl w:ilvl="0" w:tplc="0409000B">
      <w:start w:val="1"/>
      <w:numFmt w:val="bullet"/>
      <w:lvlText w:val=""/>
      <w:lvlJc w:val="left"/>
      <w:pPr>
        <w:ind w:left="14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6" w:hanging="480"/>
      </w:pPr>
      <w:rPr>
        <w:rFonts w:ascii="Wingdings" w:hAnsi="Wingdings" w:hint="default"/>
      </w:rPr>
    </w:lvl>
  </w:abstractNum>
  <w:abstractNum w:abstractNumId="33">
    <w:nsid w:val="604760F9"/>
    <w:multiLevelType w:val="hybridMultilevel"/>
    <w:tmpl w:val="EC60A6E6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25A557F"/>
    <w:multiLevelType w:val="hybridMultilevel"/>
    <w:tmpl w:val="53568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CF742A"/>
    <w:multiLevelType w:val="hybridMultilevel"/>
    <w:tmpl w:val="A85A258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6B1543E"/>
    <w:multiLevelType w:val="hybridMultilevel"/>
    <w:tmpl w:val="139EF982"/>
    <w:lvl w:ilvl="0" w:tplc="CC7415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881BAA"/>
    <w:multiLevelType w:val="hybridMultilevel"/>
    <w:tmpl w:val="0E4A6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AB6370"/>
    <w:multiLevelType w:val="hybridMultilevel"/>
    <w:tmpl w:val="22BE2080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39">
    <w:nsid w:val="732B112D"/>
    <w:multiLevelType w:val="hybridMultilevel"/>
    <w:tmpl w:val="4604795E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AD0DED"/>
    <w:multiLevelType w:val="hybridMultilevel"/>
    <w:tmpl w:val="FF72768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>
    <w:nsid w:val="78494B79"/>
    <w:multiLevelType w:val="hybridMultilevel"/>
    <w:tmpl w:val="5B7AB09E"/>
    <w:lvl w:ilvl="0" w:tplc="CC74157E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2">
    <w:nsid w:val="79383E94"/>
    <w:multiLevelType w:val="hybridMultilevel"/>
    <w:tmpl w:val="CDA6DE76"/>
    <w:lvl w:ilvl="0" w:tplc="E8325788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3">
    <w:nsid w:val="7C03612B"/>
    <w:multiLevelType w:val="hybridMultilevel"/>
    <w:tmpl w:val="D50A9D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F467457"/>
    <w:multiLevelType w:val="hybridMultilevel"/>
    <w:tmpl w:val="07745C30"/>
    <w:lvl w:ilvl="0" w:tplc="11DEAF3C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8"/>
  </w:num>
  <w:num w:numId="5">
    <w:abstractNumId w:val="30"/>
  </w:num>
  <w:num w:numId="6">
    <w:abstractNumId w:val="12"/>
  </w:num>
  <w:num w:numId="7">
    <w:abstractNumId w:val="22"/>
  </w:num>
  <w:num w:numId="8">
    <w:abstractNumId w:val="25"/>
  </w:num>
  <w:num w:numId="9">
    <w:abstractNumId w:val="27"/>
  </w:num>
  <w:num w:numId="10">
    <w:abstractNumId w:val="5"/>
  </w:num>
  <w:num w:numId="11">
    <w:abstractNumId w:val="14"/>
  </w:num>
  <w:num w:numId="12">
    <w:abstractNumId w:val="43"/>
  </w:num>
  <w:num w:numId="13">
    <w:abstractNumId w:val="6"/>
  </w:num>
  <w:num w:numId="14">
    <w:abstractNumId w:val="29"/>
  </w:num>
  <w:num w:numId="15">
    <w:abstractNumId w:val="18"/>
  </w:num>
  <w:num w:numId="16">
    <w:abstractNumId w:val="40"/>
  </w:num>
  <w:num w:numId="17">
    <w:abstractNumId w:val="20"/>
  </w:num>
  <w:num w:numId="18">
    <w:abstractNumId w:val="15"/>
  </w:num>
  <w:num w:numId="19">
    <w:abstractNumId w:val="16"/>
  </w:num>
  <w:num w:numId="20">
    <w:abstractNumId w:val="33"/>
  </w:num>
  <w:num w:numId="21">
    <w:abstractNumId w:val="35"/>
  </w:num>
  <w:num w:numId="22">
    <w:abstractNumId w:val="23"/>
  </w:num>
  <w:num w:numId="23">
    <w:abstractNumId w:val="42"/>
  </w:num>
  <w:num w:numId="24">
    <w:abstractNumId w:val="2"/>
  </w:num>
  <w:num w:numId="25">
    <w:abstractNumId w:val="36"/>
  </w:num>
  <w:num w:numId="26">
    <w:abstractNumId w:val="41"/>
  </w:num>
  <w:num w:numId="27">
    <w:abstractNumId w:val="31"/>
  </w:num>
  <w:num w:numId="28">
    <w:abstractNumId w:val="7"/>
  </w:num>
  <w:num w:numId="29">
    <w:abstractNumId w:val="17"/>
  </w:num>
  <w:num w:numId="30">
    <w:abstractNumId w:val="1"/>
  </w:num>
  <w:num w:numId="31">
    <w:abstractNumId w:val="11"/>
  </w:num>
  <w:num w:numId="32">
    <w:abstractNumId w:val="19"/>
  </w:num>
  <w:num w:numId="33">
    <w:abstractNumId w:val="24"/>
  </w:num>
  <w:num w:numId="34">
    <w:abstractNumId w:val="13"/>
  </w:num>
  <w:num w:numId="35">
    <w:abstractNumId w:val="26"/>
  </w:num>
  <w:num w:numId="36">
    <w:abstractNumId w:val="44"/>
  </w:num>
  <w:num w:numId="37">
    <w:abstractNumId w:val="21"/>
  </w:num>
  <w:num w:numId="38">
    <w:abstractNumId w:val="3"/>
  </w:num>
  <w:num w:numId="39">
    <w:abstractNumId w:val="32"/>
  </w:num>
  <w:num w:numId="40">
    <w:abstractNumId w:val="4"/>
  </w:num>
  <w:num w:numId="41">
    <w:abstractNumId w:val="28"/>
  </w:num>
  <w:num w:numId="42">
    <w:abstractNumId w:val="10"/>
  </w:num>
  <w:num w:numId="43">
    <w:abstractNumId w:val="8"/>
  </w:num>
  <w:num w:numId="44">
    <w:abstractNumId w:val="39"/>
  </w:num>
  <w:num w:numId="45">
    <w:abstractNumId w:val="3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99"/>
    <w:rsid w:val="0000533D"/>
    <w:rsid w:val="00011906"/>
    <w:rsid w:val="00014990"/>
    <w:rsid w:val="00017171"/>
    <w:rsid w:val="00017AD6"/>
    <w:rsid w:val="000227E2"/>
    <w:rsid w:val="00032A84"/>
    <w:rsid w:val="0003449A"/>
    <w:rsid w:val="0004110D"/>
    <w:rsid w:val="000417A7"/>
    <w:rsid w:val="0004206A"/>
    <w:rsid w:val="0004625C"/>
    <w:rsid w:val="00055428"/>
    <w:rsid w:val="000572D4"/>
    <w:rsid w:val="00057BAD"/>
    <w:rsid w:val="0006115A"/>
    <w:rsid w:val="000705C6"/>
    <w:rsid w:val="000841D6"/>
    <w:rsid w:val="000926E5"/>
    <w:rsid w:val="0009307D"/>
    <w:rsid w:val="00093776"/>
    <w:rsid w:val="0009412B"/>
    <w:rsid w:val="00096F70"/>
    <w:rsid w:val="00097928"/>
    <w:rsid w:val="000A3E05"/>
    <w:rsid w:val="000C168C"/>
    <w:rsid w:val="000C189E"/>
    <w:rsid w:val="000C19AD"/>
    <w:rsid w:val="000C36CC"/>
    <w:rsid w:val="000C705F"/>
    <w:rsid w:val="000D0FB2"/>
    <w:rsid w:val="000D5C02"/>
    <w:rsid w:val="000E4DB4"/>
    <w:rsid w:val="000F5BF9"/>
    <w:rsid w:val="001037C9"/>
    <w:rsid w:val="00104870"/>
    <w:rsid w:val="001049E0"/>
    <w:rsid w:val="00105264"/>
    <w:rsid w:val="001164B5"/>
    <w:rsid w:val="001257FB"/>
    <w:rsid w:val="0013078F"/>
    <w:rsid w:val="00131F77"/>
    <w:rsid w:val="00132D97"/>
    <w:rsid w:val="00133461"/>
    <w:rsid w:val="00136184"/>
    <w:rsid w:val="001365D2"/>
    <w:rsid w:val="001409C3"/>
    <w:rsid w:val="00142B3F"/>
    <w:rsid w:val="00150360"/>
    <w:rsid w:val="00153858"/>
    <w:rsid w:val="00154725"/>
    <w:rsid w:val="0015736A"/>
    <w:rsid w:val="00162D57"/>
    <w:rsid w:val="00164A8A"/>
    <w:rsid w:val="00167294"/>
    <w:rsid w:val="00172779"/>
    <w:rsid w:val="0017491F"/>
    <w:rsid w:val="00186FAA"/>
    <w:rsid w:val="001938C0"/>
    <w:rsid w:val="001979BC"/>
    <w:rsid w:val="001A3CD6"/>
    <w:rsid w:val="001B19B5"/>
    <w:rsid w:val="001B2908"/>
    <w:rsid w:val="001B36F2"/>
    <w:rsid w:val="001C5091"/>
    <w:rsid w:val="001C5A1B"/>
    <w:rsid w:val="001D43BC"/>
    <w:rsid w:val="001D5D19"/>
    <w:rsid w:val="001D6C93"/>
    <w:rsid w:val="001D789A"/>
    <w:rsid w:val="001E4113"/>
    <w:rsid w:val="001E4D43"/>
    <w:rsid w:val="001E6F73"/>
    <w:rsid w:val="001E6F88"/>
    <w:rsid w:val="001F2486"/>
    <w:rsid w:val="001F596B"/>
    <w:rsid w:val="00203113"/>
    <w:rsid w:val="00205464"/>
    <w:rsid w:val="00211E09"/>
    <w:rsid w:val="0021575E"/>
    <w:rsid w:val="00215F9D"/>
    <w:rsid w:val="00233E51"/>
    <w:rsid w:val="00235F72"/>
    <w:rsid w:val="00240B54"/>
    <w:rsid w:val="00241556"/>
    <w:rsid w:val="002420D6"/>
    <w:rsid w:val="00246966"/>
    <w:rsid w:val="0025164B"/>
    <w:rsid w:val="00252DD4"/>
    <w:rsid w:val="002614E5"/>
    <w:rsid w:val="002647F8"/>
    <w:rsid w:val="0027252E"/>
    <w:rsid w:val="0027402D"/>
    <w:rsid w:val="0027776F"/>
    <w:rsid w:val="002853C3"/>
    <w:rsid w:val="00285934"/>
    <w:rsid w:val="00285D67"/>
    <w:rsid w:val="00294D42"/>
    <w:rsid w:val="002A2CDB"/>
    <w:rsid w:val="002A3E0E"/>
    <w:rsid w:val="002B0CE6"/>
    <w:rsid w:val="002B5B23"/>
    <w:rsid w:val="002C5626"/>
    <w:rsid w:val="002C6100"/>
    <w:rsid w:val="002D3FC9"/>
    <w:rsid w:val="002F036F"/>
    <w:rsid w:val="0030004B"/>
    <w:rsid w:val="0030181F"/>
    <w:rsid w:val="003025BF"/>
    <w:rsid w:val="003209F3"/>
    <w:rsid w:val="00322A67"/>
    <w:rsid w:val="003269CF"/>
    <w:rsid w:val="00335E94"/>
    <w:rsid w:val="00336369"/>
    <w:rsid w:val="003432D4"/>
    <w:rsid w:val="00344761"/>
    <w:rsid w:val="00346490"/>
    <w:rsid w:val="00351280"/>
    <w:rsid w:val="003577D0"/>
    <w:rsid w:val="00357EF8"/>
    <w:rsid w:val="003708D0"/>
    <w:rsid w:val="00370EB4"/>
    <w:rsid w:val="00380E14"/>
    <w:rsid w:val="003834C7"/>
    <w:rsid w:val="003850C5"/>
    <w:rsid w:val="00387C17"/>
    <w:rsid w:val="00391418"/>
    <w:rsid w:val="003A0C0B"/>
    <w:rsid w:val="003B00A4"/>
    <w:rsid w:val="003B36A0"/>
    <w:rsid w:val="003B53BF"/>
    <w:rsid w:val="003B56BC"/>
    <w:rsid w:val="003C05BB"/>
    <w:rsid w:val="003C0E64"/>
    <w:rsid w:val="003C54B8"/>
    <w:rsid w:val="003F03D1"/>
    <w:rsid w:val="003F2144"/>
    <w:rsid w:val="00400BCB"/>
    <w:rsid w:val="004036E7"/>
    <w:rsid w:val="00416206"/>
    <w:rsid w:val="00426BEF"/>
    <w:rsid w:val="00431A54"/>
    <w:rsid w:val="00432B74"/>
    <w:rsid w:val="00442988"/>
    <w:rsid w:val="00443436"/>
    <w:rsid w:val="004518A5"/>
    <w:rsid w:val="004559E9"/>
    <w:rsid w:val="00470B91"/>
    <w:rsid w:val="0047128D"/>
    <w:rsid w:val="00477791"/>
    <w:rsid w:val="00491E85"/>
    <w:rsid w:val="0049387E"/>
    <w:rsid w:val="00494350"/>
    <w:rsid w:val="004948DF"/>
    <w:rsid w:val="00494B0B"/>
    <w:rsid w:val="004956BA"/>
    <w:rsid w:val="004A2826"/>
    <w:rsid w:val="004C387E"/>
    <w:rsid w:val="004D52C4"/>
    <w:rsid w:val="004E50EE"/>
    <w:rsid w:val="004F2FA5"/>
    <w:rsid w:val="004F7940"/>
    <w:rsid w:val="0050150D"/>
    <w:rsid w:val="00513748"/>
    <w:rsid w:val="00516F4B"/>
    <w:rsid w:val="00525106"/>
    <w:rsid w:val="00525D2E"/>
    <w:rsid w:val="00541C57"/>
    <w:rsid w:val="00542A08"/>
    <w:rsid w:val="00543347"/>
    <w:rsid w:val="0054364B"/>
    <w:rsid w:val="005441B0"/>
    <w:rsid w:val="00544659"/>
    <w:rsid w:val="0055218E"/>
    <w:rsid w:val="00567D81"/>
    <w:rsid w:val="00570194"/>
    <w:rsid w:val="00573145"/>
    <w:rsid w:val="0057706B"/>
    <w:rsid w:val="00580DAA"/>
    <w:rsid w:val="00586F62"/>
    <w:rsid w:val="00590BF6"/>
    <w:rsid w:val="00594DDE"/>
    <w:rsid w:val="005A1BB5"/>
    <w:rsid w:val="005B6730"/>
    <w:rsid w:val="005C1444"/>
    <w:rsid w:val="005E3BF1"/>
    <w:rsid w:val="005E3D0D"/>
    <w:rsid w:val="005F6D8A"/>
    <w:rsid w:val="00601B22"/>
    <w:rsid w:val="006155A2"/>
    <w:rsid w:val="00621754"/>
    <w:rsid w:val="00630A37"/>
    <w:rsid w:val="00631223"/>
    <w:rsid w:val="00631BCC"/>
    <w:rsid w:val="00644664"/>
    <w:rsid w:val="006448FD"/>
    <w:rsid w:val="006457C5"/>
    <w:rsid w:val="00650041"/>
    <w:rsid w:val="00670780"/>
    <w:rsid w:val="006777C3"/>
    <w:rsid w:val="00692E10"/>
    <w:rsid w:val="00696EC9"/>
    <w:rsid w:val="006A24C7"/>
    <w:rsid w:val="006A58A3"/>
    <w:rsid w:val="006A71AD"/>
    <w:rsid w:val="006B2E8F"/>
    <w:rsid w:val="006B33A9"/>
    <w:rsid w:val="006C1F4B"/>
    <w:rsid w:val="006C234F"/>
    <w:rsid w:val="006C45B7"/>
    <w:rsid w:val="006C47BE"/>
    <w:rsid w:val="006C6FC3"/>
    <w:rsid w:val="006D4051"/>
    <w:rsid w:val="006E0424"/>
    <w:rsid w:val="006E06D5"/>
    <w:rsid w:val="006E3EFC"/>
    <w:rsid w:val="006E4D95"/>
    <w:rsid w:val="006E572E"/>
    <w:rsid w:val="006F3C80"/>
    <w:rsid w:val="00701E62"/>
    <w:rsid w:val="00703733"/>
    <w:rsid w:val="00705769"/>
    <w:rsid w:val="007079F1"/>
    <w:rsid w:val="00711D0C"/>
    <w:rsid w:val="007144AA"/>
    <w:rsid w:val="00716EF9"/>
    <w:rsid w:val="00720415"/>
    <w:rsid w:val="007234B7"/>
    <w:rsid w:val="00724B56"/>
    <w:rsid w:val="007304F8"/>
    <w:rsid w:val="00734FB0"/>
    <w:rsid w:val="007355FF"/>
    <w:rsid w:val="00747215"/>
    <w:rsid w:val="00747CC6"/>
    <w:rsid w:val="00757B2E"/>
    <w:rsid w:val="007765B3"/>
    <w:rsid w:val="0077765F"/>
    <w:rsid w:val="00790EA3"/>
    <w:rsid w:val="00795BF3"/>
    <w:rsid w:val="007A358C"/>
    <w:rsid w:val="007A4CAF"/>
    <w:rsid w:val="007A54BE"/>
    <w:rsid w:val="007B1E92"/>
    <w:rsid w:val="007B7240"/>
    <w:rsid w:val="007B79BB"/>
    <w:rsid w:val="007B7C6C"/>
    <w:rsid w:val="007C1262"/>
    <w:rsid w:val="007C3429"/>
    <w:rsid w:val="007D1DF8"/>
    <w:rsid w:val="007D2584"/>
    <w:rsid w:val="007D48EB"/>
    <w:rsid w:val="007D61BC"/>
    <w:rsid w:val="007D7314"/>
    <w:rsid w:val="007D7DF5"/>
    <w:rsid w:val="007E367A"/>
    <w:rsid w:val="007F18FF"/>
    <w:rsid w:val="007F5278"/>
    <w:rsid w:val="007F682B"/>
    <w:rsid w:val="00802B67"/>
    <w:rsid w:val="0081007B"/>
    <w:rsid w:val="0081228D"/>
    <w:rsid w:val="00812A01"/>
    <w:rsid w:val="00820613"/>
    <w:rsid w:val="00821062"/>
    <w:rsid w:val="008279C2"/>
    <w:rsid w:val="00837B60"/>
    <w:rsid w:val="0084741A"/>
    <w:rsid w:val="00863CC7"/>
    <w:rsid w:val="00871C9F"/>
    <w:rsid w:val="00875911"/>
    <w:rsid w:val="0088024A"/>
    <w:rsid w:val="00890CF2"/>
    <w:rsid w:val="008967C1"/>
    <w:rsid w:val="008B03BD"/>
    <w:rsid w:val="008B199B"/>
    <w:rsid w:val="008B1E12"/>
    <w:rsid w:val="008B23E1"/>
    <w:rsid w:val="008C2A9E"/>
    <w:rsid w:val="008C6789"/>
    <w:rsid w:val="008D085F"/>
    <w:rsid w:val="008E3CEF"/>
    <w:rsid w:val="008E4B76"/>
    <w:rsid w:val="008F0DCA"/>
    <w:rsid w:val="008F3075"/>
    <w:rsid w:val="008F7A97"/>
    <w:rsid w:val="008F7FAA"/>
    <w:rsid w:val="00900DF0"/>
    <w:rsid w:val="00901209"/>
    <w:rsid w:val="00906275"/>
    <w:rsid w:val="009071F8"/>
    <w:rsid w:val="00913500"/>
    <w:rsid w:val="00913E22"/>
    <w:rsid w:val="00920D65"/>
    <w:rsid w:val="009234D1"/>
    <w:rsid w:val="00931790"/>
    <w:rsid w:val="0093272F"/>
    <w:rsid w:val="0093427E"/>
    <w:rsid w:val="00936E35"/>
    <w:rsid w:val="009424B6"/>
    <w:rsid w:val="00943722"/>
    <w:rsid w:val="009509CA"/>
    <w:rsid w:val="00953949"/>
    <w:rsid w:val="009559DE"/>
    <w:rsid w:val="0095729E"/>
    <w:rsid w:val="00960C09"/>
    <w:rsid w:val="00961207"/>
    <w:rsid w:val="00963793"/>
    <w:rsid w:val="00967C4B"/>
    <w:rsid w:val="009701CC"/>
    <w:rsid w:val="0097283E"/>
    <w:rsid w:val="00972E63"/>
    <w:rsid w:val="009751D7"/>
    <w:rsid w:val="0098336A"/>
    <w:rsid w:val="00983D0B"/>
    <w:rsid w:val="009879B8"/>
    <w:rsid w:val="009945E2"/>
    <w:rsid w:val="00996453"/>
    <w:rsid w:val="00996A79"/>
    <w:rsid w:val="009A332B"/>
    <w:rsid w:val="009A4704"/>
    <w:rsid w:val="009A7741"/>
    <w:rsid w:val="009B09E6"/>
    <w:rsid w:val="009B4394"/>
    <w:rsid w:val="009B492B"/>
    <w:rsid w:val="009B5BE7"/>
    <w:rsid w:val="009C0EFD"/>
    <w:rsid w:val="009C23A4"/>
    <w:rsid w:val="009C71CB"/>
    <w:rsid w:val="009D0781"/>
    <w:rsid w:val="009D556C"/>
    <w:rsid w:val="009F0BA6"/>
    <w:rsid w:val="009F1ABC"/>
    <w:rsid w:val="009F7598"/>
    <w:rsid w:val="009F7A0A"/>
    <w:rsid w:val="00A019F1"/>
    <w:rsid w:val="00A0525C"/>
    <w:rsid w:val="00A128BE"/>
    <w:rsid w:val="00A1597B"/>
    <w:rsid w:val="00A1749B"/>
    <w:rsid w:val="00A17684"/>
    <w:rsid w:val="00A17CDC"/>
    <w:rsid w:val="00A27030"/>
    <w:rsid w:val="00A30C4F"/>
    <w:rsid w:val="00A33080"/>
    <w:rsid w:val="00A35F36"/>
    <w:rsid w:val="00A41BA6"/>
    <w:rsid w:val="00A43DE1"/>
    <w:rsid w:val="00A608A0"/>
    <w:rsid w:val="00A60A53"/>
    <w:rsid w:val="00A632BA"/>
    <w:rsid w:val="00A64165"/>
    <w:rsid w:val="00A82008"/>
    <w:rsid w:val="00A84D58"/>
    <w:rsid w:val="00A854A8"/>
    <w:rsid w:val="00A9339D"/>
    <w:rsid w:val="00A948FB"/>
    <w:rsid w:val="00AA2C43"/>
    <w:rsid w:val="00AB1B07"/>
    <w:rsid w:val="00AB378A"/>
    <w:rsid w:val="00AC679D"/>
    <w:rsid w:val="00AC6CDC"/>
    <w:rsid w:val="00AD6ED4"/>
    <w:rsid w:val="00AE1098"/>
    <w:rsid w:val="00AE1433"/>
    <w:rsid w:val="00AE3E26"/>
    <w:rsid w:val="00AF3E85"/>
    <w:rsid w:val="00AF576F"/>
    <w:rsid w:val="00AF7112"/>
    <w:rsid w:val="00B06C92"/>
    <w:rsid w:val="00B20CB2"/>
    <w:rsid w:val="00B21BD1"/>
    <w:rsid w:val="00B26316"/>
    <w:rsid w:val="00B276CA"/>
    <w:rsid w:val="00B32C39"/>
    <w:rsid w:val="00B32E3C"/>
    <w:rsid w:val="00B36263"/>
    <w:rsid w:val="00B40E3E"/>
    <w:rsid w:val="00B41CFE"/>
    <w:rsid w:val="00B431E7"/>
    <w:rsid w:val="00B433F5"/>
    <w:rsid w:val="00B515DE"/>
    <w:rsid w:val="00B57AEE"/>
    <w:rsid w:val="00B63D3E"/>
    <w:rsid w:val="00B64D74"/>
    <w:rsid w:val="00B65FF0"/>
    <w:rsid w:val="00B70E1C"/>
    <w:rsid w:val="00B74E5C"/>
    <w:rsid w:val="00B80624"/>
    <w:rsid w:val="00B8469B"/>
    <w:rsid w:val="00B90899"/>
    <w:rsid w:val="00B91FC0"/>
    <w:rsid w:val="00B923D9"/>
    <w:rsid w:val="00B9319A"/>
    <w:rsid w:val="00B95864"/>
    <w:rsid w:val="00BA03FA"/>
    <w:rsid w:val="00BA3FCB"/>
    <w:rsid w:val="00BB1930"/>
    <w:rsid w:val="00BB77E5"/>
    <w:rsid w:val="00BC1D28"/>
    <w:rsid w:val="00BD1250"/>
    <w:rsid w:val="00BD309F"/>
    <w:rsid w:val="00BE5D4D"/>
    <w:rsid w:val="00BE65D7"/>
    <w:rsid w:val="00BE7D96"/>
    <w:rsid w:val="00BF31DF"/>
    <w:rsid w:val="00C06FAC"/>
    <w:rsid w:val="00C07109"/>
    <w:rsid w:val="00C0737A"/>
    <w:rsid w:val="00C07E85"/>
    <w:rsid w:val="00C109F4"/>
    <w:rsid w:val="00C10AA8"/>
    <w:rsid w:val="00C1197C"/>
    <w:rsid w:val="00C1455D"/>
    <w:rsid w:val="00C14BC0"/>
    <w:rsid w:val="00C15BDF"/>
    <w:rsid w:val="00C32212"/>
    <w:rsid w:val="00C41DF6"/>
    <w:rsid w:val="00C433B5"/>
    <w:rsid w:val="00C46B91"/>
    <w:rsid w:val="00C46FE1"/>
    <w:rsid w:val="00C56B68"/>
    <w:rsid w:val="00C605A0"/>
    <w:rsid w:val="00C61237"/>
    <w:rsid w:val="00C65C2A"/>
    <w:rsid w:val="00C72E85"/>
    <w:rsid w:val="00C75C7F"/>
    <w:rsid w:val="00C859E3"/>
    <w:rsid w:val="00C870E0"/>
    <w:rsid w:val="00C92D21"/>
    <w:rsid w:val="00C93D33"/>
    <w:rsid w:val="00C96599"/>
    <w:rsid w:val="00CA1255"/>
    <w:rsid w:val="00CA3983"/>
    <w:rsid w:val="00CB2324"/>
    <w:rsid w:val="00CB72D5"/>
    <w:rsid w:val="00CC5516"/>
    <w:rsid w:val="00CC6E31"/>
    <w:rsid w:val="00CD3091"/>
    <w:rsid w:val="00CD3C38"/>
    <w:rsid w:val="00CD47ED"/>
    <w:rsid w:val="00CD79D6"/>
    <w:rsid w:val="00CE6C8C"/>
    <w:rsid w:val="00D036AF"/>
    <w:rsid w:val="00D16650"/>
    <w:rsid w:val="00D1677B"/>
    <w:rsid w:val="00D31502"/>
    <w:rsid w:val="00D43E77"/>
    <w:rsid w:val="00D47A6A"/>
    <w:rsid w:val="00D55E01"/>
    <w:rsid w:val="00D7135A"/>
    <w:rsid w:val="00D7317D"/>
    <w:rsid w:val="00D73B09"/>
    <w:rsid w:val="00D751DC"/>
    <w:rsid w:val="00D81E61"/>
    <w:rsid w:val="00D91ABB"/>
    <w:rsid w:val="00D96ABC"/>
    <w:rsid w:val="00DA0A54"/>
    <w:rsid w:val="00DB0099"/>
    <w:rsid w:val="00DC2F9A"/>
    <w:rsid w:val="00DD0BF4"/>
    <w:rsid w:val="00DD14F8"/>
    <w:rsid w:val="00DD2EF3"/>
    <w:rsid w:val="00DE62E8"/>
    <w:rsid w:val="00DF659A"/>
    <w:rsid w:val="00DF799D"/>
    <w:rsid w:val="00E0088E"/>
    <w:rsid w:val="00E00E2D"/>
    <w:rsid w:val="00E03233"/>
    <w:rsid w:val="00E033CE"/>
    <w:rsid w:val="00E05A65"/>
    <w:rsid w:val="00E15128"/>
    <w:rsid w:val="00E21A89"/>
    <w:rsid w:val="00E3531E"/>
    <w:rsid w:val="00E42211"/>
    <w:rsid w:val="00E43180"/>
    <w:rsid w:val="00E52364"/>
    <w:rsid w:val="00E53CAC"/>
    <w:rsid w:val="00E62ECE"/>
    <w:rsid w:val="00E64C51"/>
    <w:rsid w:val="00E65DB7"/>
    <w:rsid w:val="00E73D40"/>
    <w:rsid w:val="00E74E4C"/>
    <w:rsid w:val="00E83C1D"/>
    <w:rsid w:val="00E84742"/>
    <w:rsid w:val="00E855E2"/>
    <w:rsid w:val="00EA06DF"/>
    <w:rsid w:val="00EA39AB"/>
    <w:rsid w:val="00EB396B"/>
    <w:rsid w:val="00EB6849"/>
    <w:rsid w:val="00ED2574"/>
    <w:rsid w:val="00ED2F93"/>
    <w:rsid w:val="00ED412A"/>
    <w:rsid w:val="00ED6CFF"/>
    <w:rsid w:val="00EE3CB2"/>
    <w:rsid w:val="00EF0BC7"/>
    <w:rsid w:val="00EF17EF"/>
    <w:rsid w:val="00EF2CDB"/>
    <w:rsid w:val="00F01A22"/>
    <w:rsid w:val="00F01E23"/>
    <w:rsid w:val="00F02F8D"/>
    <w:rsid w:val="00F06A4A"/>
    <w:rsid w:val="00F12DD3"/>
    <w:rsid w:val="00F200AF"/>
    <w:rsid w:val="00F21086"/>
    <w:rsid w:val="00F2152A"/>
    <w:rsid w:val="00F21D10"/>
    <w:rsid w:val="00F24E6E"/>
    <w:rsid w:val="00F3622B"/>
    <w:rsid w:val="00F37403"/>
    <w:rsid w:val="00F5040F"/>
    <w:rsid w:val="00F55BB2"/>
    <w:rsid w:val="00F612DB"/>
    <w:rsid w:val="00F61338"/>
    <w:rsid w:val="00F70349"/>
    <w:rsid w:val="00F80177"/>
    <w:rsid w:val="00F81A18"/>
    <w:rsid w:val="00F86DA7"/>
    <w:rsid w:val="00F903D6"/>
    <w:rsid w:val="00FA7939"/>
    <w:rsid w:val="00FB40C9"/>
    <w:rsid w:val="00FC31EB"/>
    <w:rsid w:val="00FC3C63"/>
    <w:rsid w:val="00FC4F6B"/>
    <w:rsid w:val="00FD18AB"/>
    <w:rsid w:val="00FD33E8"/>
    <w:rsid w:val="00FD4F53"/>
    <w:rsid w:val="00FE7AB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B63D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gmail-m-8045136572329527891gmail-msolistparagraph">
    <w:name w:val="gmail-m_-8045136572329527891gmail-msolistparagraph"/>
    <w:basedOn w:val="a"/>
    <w:uiPriority w:val="99"/>
    <w:rsid w:val="00FE7A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B63D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gmail-m-8045136572329527891gmail-msolistparagraph">
    <w:name w:val="gmail-m_-8045136572329527891gmail-msolistparagraph"/>
    <w:basedOn w:val="a"/>
    <w:uiPriority w:val="99"/>
    <w:rsid w:val="00FE7A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r.fd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/Safety/MedWatch/SafetyInformation/SafetyAlertsforHumanMedicalProducts/ucm574763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8CD7-16BD-4D02-8EDB-A087B004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黃俐嘉</cp:lastModifiedBy>
  <cp:revision>2</cp:revision>
  <cp:lastPrinted>2017-09-22T08:23:00Z</cp:lastPrinted>
  <dcterms:created xsi:type="dcterms:W3CDTF">2017-09-27T08:52:00Z</dcterms:created>
  <dcterms:modified xsi:type="dcterms:W3CDTF">2017-09-27T08:52:00Z</dcterms:modified>
</cp:coreProperties>
</file>