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4" w:rsidRPr="00125BC4" w:rsidRDefault="00125BC4" w:rsidP="00125BC4">
      <w:pPr>
        <w:widowControl/>
        <w:spacing w:before="120" w:after="120"/>
        <w:outlineLvl w:val="2"/>
        <w:rPr>
          <w:rFonts w:ascii="Arial" w:hAnsi="Arial" w:cs="Arial"/>
          <w:color w:val="6E6E6E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公告</w:t>
      </w:r>
      <w:bookmarkStart w:id="0" w:name="_GoBack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含</w:t>
      </w:r>
      <w:proofErr w:type="spellStart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ambroxol</w:t>
      </w:r>
      <w:proofErr w:type="spellEnd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或</w:t>
      </w:r>
      <w:proofErr w:type="spellStart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bromhexine</w:t>
      </w:r>
      <w:proofErr w:type="spellEnd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成分「處方藥品」中文仿單修訂相關事宜</w:t>
      </w:r>
      <w:bookmarkEnd w:id="0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。</w:t>
      </w:r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 </w:t>
      </w:r>
      <w:proofErr w:type="gramStart"/>
      <w:r w:rsidRPr="00125BC4">
        <w:rPr>
          <w:rFonts w:ascii="Arial" w:hAnsi="Arial" w:cs="Arial"/>
          <w:color w:val="FF6C00"/>
          <w:spacing w:val="14"/>
          <w:kern w:val="0"/>
          <w:sz w:val="27"/>
          <w:szCs w:val="27"/>
        </w:rPr>
        <w:t>【</w:t>
      </w:r>
      <w:proofErr w:type="gramEnd"/>
      <w:r w:rsidRPr="00125BC4">
        <w:rPr>
          <w:rFonts w:ascii="Arial" w:hAnsi="Arial" w:cs="Arial"/>
          <w:color w:val="FF6C00"/>
          <w:spacing w:val="14"/>
          <w:kern w:val="0"/>
          <w:sz w:val="27"/>
          <w:szCs w:val="27"/>
        </w:rPr>
        <w:t>發布日期：</w:t>
      </w:r>
      <w:r w:rsidRPr="00125BC4">
        <w:rPr>
          <w:rFonts w:ascii="Arial" w:hAnsi="Arial" w:cs="Arial"/>
          <w:color w:val="FF6C00"/>
          <w:spacing w:val="14"/>
          <w:kern w:val="0"/>
          <w:sz w:val="27"/>
          <w:szCs w:val="27"/>
        </w:rPr>
        <w:t>2017-04-18</w:t>
      </w:r>
      <w:proofErr w:type="gramStart"/>
      <w:r w:rsidRPr="00125BC4">
        <w:rPr>
          <w:rFonts w:ascii="Arial" w:hAnsi="Arial" w:cs="Arial"/>
          <w:color w:val="FF6C00"/>
          <w:spacing w:val="14"/>
          <w:kern w:val="0"/>
          <w:sz w:val="27"/>
          <w:szCs w:val="27"/>
        </w:rPr>
        <w:t>】</w:t>
      </w:r>
      <w:proofErr w:type="gramEnd"/>
      <w:r w:rsidRPr="00125BC4">
        <w:rPr>
          <w:rFonts w:ascii="Arial" w:hAnsi="Arial" w:cs="Arial"/>
          <w:color w:val="6E6E6E"/>
          <w:spacing w:val="14"/>
          <w:kern w:val="0"/>
          <w:sz w:val="27"/>
          <w:szCs w:val="27"/>
        </w:rPr>
        <w:t> </w:t>
      </w:r>
      <w:r w:rsidRPr="00125BC4">
        <w:rPr>
          <w:rFonts w:ascii="Arial" w:hAnsi="Arial" w:cs="Arial"/>
          <w:color w:val="FFFFFF"/>
          <w:spacing w:val="14"/>
          <w:kern w:val="0"/>
          <w:sz w:val="27"/>
          <w:szCs w:val="27"/>
        </w:rPr>
        <w:t>發布單位：藥品組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主旨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: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公告含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ambroxol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或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bromhexine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成分「處方藥品」中文仿單修訂相關事宜。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發文字號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：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衛授食字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第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1061403006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號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依據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: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藥事法第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48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條及第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75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條。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公告事項：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一、含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ambroxol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或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bromhexine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成分處方藥品，經本部彙整國內、外相關資料及臨床相關文獻進行整體性評估，其評估結果如下：</w:t>
      </w:r>
    </w:p>
    <w:p w:rsidR="00125BC4" w:rsidRPr="00125BC4" w:rsidRDefault="00125BC4" w:rsidP="00125BC4">
      <w:pPr>
        <w:widowControl/>
        <w:spacing w:before="240" w:after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(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一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)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「警語及注意事項」處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應加刊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：「有極少數的報告指出，發生如：多形性紅斑（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erythema 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multiforme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）、史帝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文生氏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-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強生症候群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/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毒性表皮壞死溶解症（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Stevens-Johnson syndrome &lt;SJS&gt; / toxic epidermal necrolysis &lt;TEN&gt;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）、急性廣泛性發疹性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膿皰症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（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acute 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generalised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 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exanthematous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 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pustulosis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 &lt;AGEP&gt;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）等嚴重皮膚損害，與使用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袪痰劑，如含</w:t>
      </w:r>
      <w:proofErr w:type="spellStart"/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ambroxol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或</w:t>
      </w:r>
      <w:proofErr w:type="spell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bromhexine</w:t>
      </w:r>
      <w:proofErr w:type="spell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成分藥品有時間關聯性，但這些案例通常與患者的潛在疾病及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/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或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併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用藥物有關。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此外，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在該等嚴重皮膚不良反應的早期階段，患者可能先出現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類似流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感的非專一性前兆症狀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（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如：發燒、身體感覺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疼痛、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鼻炎、咳嗽及喉嚨痛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。若受這些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類似流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感之非專一性前兆症狀的誤導，一開始可能會使用咳嗽及感冒藥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來作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症狀治療。因此，如果皮膚或黏膜出現新的傷口，須立刻尋求醫療諮詢並停藥。」</w:t>
      </w:r>
    </w:p>
    <w:p w:rsidR="00125BC4" w:rsidRPr="00125BC4" w:rsidRDefault="00125BC4" w:rsidP="00125BC4">
      <w:pPr>
        <w:widowControl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(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二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)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「不良反應」處應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加刊下列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內容：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免疫系統疾患：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罕見：過敏反應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（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hypersensitivity reactions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）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頻率未知：過敏性反應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（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anaphylactic reactions</w:t>
      </w:r>
      <w:r w:rsidRPr="00125BC4">
        <w:rPr>
          <w:color w:val="222222"/>
          <w:kern w:val="0"/>
          <w:sz w:val="28"/>
          <w:szCs w:val="28"/>
          <w:shd w:val="clear" w:color="auto" w:fill="FFFFFF"/>
        </w:rPr>
        <w:t>）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（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包括：過敏性休克、血管性水腫、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瘙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癢症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皮膚及皮下組織疾患：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罕見：皮疹、蕁麻疹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br/>
        <w:t xml:space="preserve">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頻率未知：嚴重皮膚不良反應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（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包括：多形性紅斑、史帝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文生氏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-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強生症候群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/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毒性表皮壞死溶解症、</w:t>
      </w:r>
    </w:p>
    <w:p w:rsidR="00125BC4" w:rsidRPr="00125BC4" w:rsidRDefault="00125BC4" w:rsidP="00125BC4">
      <w:pPr>
        <w:widowControl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 xml:space="preserve">                            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急性廣泛性發疹性膿皰症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）</w:t>
      </w:r>
      <w:proofErr w:type="gramEnd"/>
    </w:p>
    <w:p w:rsidR="00125BC4" w:rsidRPr="00125BC4" w:rsidRDefault="00125BC4" w:rsidP="00125BC4">
      <w:pPr>
        <w:widowControl/>
        <w:spacing w:before="240"/>
        <w:rPr>
          <w:rFonts w:ascii="Arial" w:hAnsi="Arial" w:cs="Arial"/>
          <w:color w:val="333333"/>
          <w:spacing w:val="14"/>
          <w:kern w:val="0"/>
          <w:sz w:val="27"/>
          <w:szCs w:val="27"/>
        </w:rPr>
      </w:pP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二、凡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持有旨揭成分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處方藥品許可證者應自行依本公告事項修訂仿單內容（原仿單內容倘與公告修訂內容有不一致或矛盾部分，應自行一併修訂），並於公告日起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2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個月內自行上傳仿單電子檔（無須申請仿單變更），核准變更日則以上傳日為</w:t>
      </w:r>
      <w:proofErr w:type="gramStart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準</w:t>
      </w:r>
      <w:proofErr w:type="gramEnd"/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。逾期辦理者，須依藥品查驗登記審查準則第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63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條辦理變更登記，並依規定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lastRenderedPageBreak/>
        <w:t>繳納審查費。逾期未辦理者，依違反藥事法第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75</w:t>
      </w:r>
      <w:r w:rsidRPr="00125BC4">
        <w:rPr>
          <w:rFonts w:ascii="Arial" w:hAnsi="Arial" w:cs="Arial"/>
          <w:color w:val="333333"/>
          <w:spacing w:val="14"/>
          <w:kern w:val="0"/>
          <w:sz w:val="27"/>
          <w:szCs w:val="27"/>
        </w:rPr>
        <w:t>條相關規定處辦。惟已至本部食品藥物管理署辦理切結不生產或輸入者，暫無須依公告辦理，惟產品恢復製造或輸入時應一併完成前述作業。</w:t>
      </w:r>
    </w:p>
    <w:p w:rsidR="00F45C8E" w:rsidRPr="00125BC4" w:rsidRDefault="00F45C8E"/>
    <w:sectPr w:rsidR="00F45C8E" w:rsidRPr="00125BC4" w:rsidSect="00125B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4"/>
    <w:rsid w:val="00125BC4"/>
    <w:rsid w:val="00DE3938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25BC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25BC4"/>
    <w:rPr>
      <w:rFonts w:ascii="新細明體" w:hAnsi="新細明體" w:cs="新細明體"/>
      <w:b/>
      <w:bCs/>
      <w:sz w:val="27"/>
      <w:szCs w:val="27"/>
    </w:rPr>
  </w:style>
  <w:style w:type="character" w:customStyle="1" w:styleId="fdtitle">
    <w:name w:val="fdtitle"/>
    <w:basedOn w:val="a0"/>
    <w:rsid w:val="00125BC4"/>
  </w:style>
  <w:style w:type="character" w:customStyle="1" w:styleId="apple-converted-space">
    <w:name w:val="apple-converted-space"/>
    <w:basedOn w:val="a0"/>
    <w:rsid w:val="00125BC4"/>
  </w:style>
  <w:style w:type="character" w:customStyle="1" w:styleId="orangetext">
    <w:name w:val="orangetext"/>
    <w:basedOn w:val="a0"/>
    <w:rsid w:val="00125BC4"/>
  </w:style>
  <w:style w:type="character" w:customStyle="1" w:styleId="whitetext">
    <w:name w:val="whitetext"/>
    <w:basedOn w:val="a0"/>
    <w:rsid w:val="00125BC4"/>
  </w:style>
  <w:style w:type="paragraph" w:styleId="Web">
    <w:name w:val="Normal (Web)"/>
    <w:basedOn w:val="a"/>
    <w:uiPriority w:val="99"/>
    <w:semiHidden/>
    <w:unhideWhenUsed/>
    <w:rsid w:val="00125B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25BC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25BC4"/>
    <w:rPr>
      <w:rFonts w:ascii="新細明體" w:hAnsi="新細明體" w:cs="新細明體"/>
      <w:b/>
      <w:bCs/>
      <w:sz w:val="27"/>
      <w:szCs w:val="27"/>
    </w:rPr>
  </w:style>
  <w:style w:type="character" w:customStyle="1" w:styleId="fdtitle">
    <w:name w:val="fdtitle"/>
    <w:basedOn w:val="a0"/>
    <w:rsid w:val="00125BC4"/>
  </w:style>
  <w:style w:type="character" w:customStyle="1" w:styleId="apple-converted-space">
    <w:name w:val="apple-converted-space"/>
    <w:basedOn w:val="a0"/>
    <w:rsid w:val="00125BC4"/>
  </w:style>
  <w:style w:type="character" w:customStyle="1" w:styleId="orangetext">
    <w:name w:val="orangetext"/>
    <w:basedOn w:val="a0"/>
    <w:rsid w:val="00125BC4"/>
  </w:style>
  <w:style w:type="character" w:customStyle="1" w:styleId="whitetext">
    <w:name w:val="whitetext"/>
    <w:basedOn w:val="a0"/>
    <w:rsid w:val="00125BC4"/>
  </w:style>
  <w:style w:type="paragraph" w:styleId="Web">
    <w:name w:val="Normal (Web)"/>
    <w:basedOn w:val="a"/>
    <w:uiPriority w:val="99"/>
    <w:semiHidden/>
    <w:unhideWhenUsed/>
    <w:rsid w:val="00125B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2017-06-15T07:21:00Z</dcterms:created>
  <dcterms:modified xsi:type="dcterms:W3CDTF">2017-06-15T07:21:00Z</dcterms:modified>
</cp:coreProperties>
</file>