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2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94"/>
      </w:tblGrid>
      <w:tr w:rsidR="002E1AD7" w:rsidRPr="002E1AD7" w:rsidTr="00094F6B">
        <w:trPr>
          <w:trHeight w:val="333"/>
          <w:jc w:val="center"/>
        </w:trPr>
        <w:tc>
          <w:tcPr>
            <w:tcW w:w="10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6D0CB5" w:rsidRDefault="00401BF5" w:rsidP="002E1AD7">
            <w:pPr>
              <w:pStyle w:val="1"/>
              <w:spacing w:before="0" w:beforeAutospacing="0" w:after="0" w:afterAutospacing="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bookmarkStart w:id="0" w:name="_GoBack"/>
            <w:bookmarkEnd w:id="0"/>
            <w:r w:rsidRPr="006D0CB5">
              <w:rPr>
                <w:rFonts w:ascii="Arial" w:eastAsia="標楷體" w:hAnsi="Arial" w:cs="Arial"/>
                <w:sz w:val="32"/>
                <w:szCs w:val="32"/>
              </w:rPr>
              <w:t>SGLT2</w:t>
            </w:r>
            <w:r w:rsidR="001D684A" w:rsidRPr="006D0CB5">
              <w:rPr>
                <w:rFonts w:ascii="Arial" w:eastAsia="標楷體" w:hAnsi="Arial" w:cs="Arial"/>
                <w:sz w:val="32"/>
                <w:szCs w:val="32"/>
              </w:rPr>
              <w:t>抑制劑類</w:t>
            </w:r>
            <w:r w:rsidRPr="006D0CB5">
              <w:rPr>
                <w:rFonts w:ascii="Arial" w:eastAsia="標楷體" w:hAnsi="Arial" w:cs="Arial"/>
                <w:sz w:val="32"/>
                <w:szCs w:val="32"/>
              </w:rPr>
              <w:t>藥品安全資訊風險溝通表</w:t>
            </w:r>
          </w:p>
          <w:p w:rsidR="00D66A55" w:rsidRPr="002E1AD7" w:rsidRDefault="00D66A55" w:rsidP="002E1AD7">
            <w:pPr>
              <w:pStyle w:val="1"/>
              <w:spacing w:before="0" w:beforeAutospacing="0" w:after="0" w:afterAutospacing="0"/>
              <w:jc w:val="right"/>
              <w:rPr>
                <w:rFonts w:ascii="Arial" w:eastAsia="標楷體" w:hAnsi="Arial" w:cs="Arial"/>
                <w:sz w:val="24"/>
                <w:szCs w:val="24"/>
              </w:rPr>
            </w:pPr>
            <w:r w:rsidRPr="002E1AD7">
              <w:rPr>
                <w:rFonts w:ascii="Arial" w:eastAsia="標楷體" w:hAnsi="Arial" w:cs="Arial"/>
                <w:b w:val="0"/>
                <w:sz w:val="24"/>
                <w:szCs w:val="24"/>
              </w:rPr>
              <w:t>日期：</w:t>
            </w:r>
            <w:r w:rsidRPr="002E1AD7">
              <w:rPr>
                <w:rFonts w:ascii="Arial" w:eastAsia="標楷體" w:hAnsi="Arial" w:cs="Arial"/>
                <w:b w:val="0"/>
                <w:sz w:val="24"/>
                <w:szCs w:val="24"/>
              </w:rPr>
              <w:t>106/3</w:t>
            </w:r>
          </w:p>
        </w:tc>
      </w:tr>
      <w:tr w:rsidR="002E1AD7" w:rsidRPr="002E1AD7" w:rsidTr="007C418C">
        <w:trPr>
          <w:trHeight w:val="333"/>
          <w:jc w:val="center"/>
        </w:trPr>
        <w:tc>
          <w:tcPr>
            <w:tcW w:w="2268" w:type="dxa"/>
            <w:vAlign w:val="center"/>
          </w:tcPr>
          <w:p w:rsidR="00401BF5" w:rsidRPr="002E1AD7" w:rsidRDefault="00401BF5" w:rsidP="002E1AD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t>藥品成分</w:t>
            </w:r>
          </w:p>
        </w:tc>
        <w:tc>
          <w:tcPr>
            <w:tcW w:w="7994" w:type="dxa"/>
          </w:tcPr>
          <w:p w:rsidR="00401BF5" w:rsidRPr="002E1AD7" w:rsidRDefault="00401BF5" w:rsidP="002E1AD7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t>SGLT2</w:t>
            </w:r>
            <w:r w:rsidR="00E666DC" w:rsidRPr="002E1AD7">
              <w:rPr>
                <w:rFonts w:ascii="Arial" w:eastAsia="標楷體" w:hAnsi="Arial" w:cs="Arial"/>
                <w:szCs w:val="24"/>
              </w:rPr>
              <w:t>抑制劑類</w:t>
            </w:r>
            <w:r w:rsidRPr="002E1AD7">
              <w:rPr>
                <w:rFonts w:ascii="Arial" w:eastAsia="標楷體" w:hAnsi="Arial" w:cs="Arial"/>
                <w:szCs w:val="24"/>
              </w:rPr>
              <w:t>藥品</w:t>
            </w:r>
            <w:proofErr w:type="gramStart"/>
            <w:r w:rsidRPr="002E1AD7">
              <w:rPr>
                <w:rFonts w:ascii="Arial" w:eastAsia="標楷體" w:hAnsi="Arial" w:cs="Arial"/>
                <w:szCs w:val="24"/>
              </w:rPr>
              <w:t>（</w:t>
            </w:r>
            <w:proofErr w:type="gramEnd"/>
            <w:r w:rsidR="00355C61" w:rsidRPr="002E1AD7">
              <w:rPr>
                <w:rFonts w:ascii="Arial" w:eastAsia="標楷體" w:hAnsi="Arial" w:cs="Arial"/>
                <w:szCs w:val="24"/>
              </w:rPr>
              <w:t>包含</w:t>
            </w:r>
            <w:r w:rsidR="00224D3C" w:rsidRPr="002E1AD7">
              <w:rPr>
                <w:rFonts w:ascii="Arial" w:eastAsia="標楷體" w:hAnsi="Arial" w:cs="Arial"/>
                <w:szCs w:val="24"/>
              </w:rPr>
              <w:t>：</w:t>
            </w:r>
            <w:proofErr w:type="spellStart"/>
            <w:r w:rsidRPr="002E1AD7">
              <w:rPr>
                <w:rFonts w:ascii="Arial" w:eastAsia="標楷體" w:hAnsi="Arial" w:cs="Arial"/>
                <w:szCs w:val="24"/>
              </w:rPr>
              <w:t>canagliflozin</w:t>
            </w:r>
            <w:proofErr w:type="spellEnd"/>
            <w:r w:rsidR="00505496" w:rsidRPr="002E1AD7">
              <w:rPr>
                <w:rFonts w:ascii="Arial" w:eastAsia="標楷體" w:hAnsi="Arial" w:cs="Arial"/>
                <w:szCs w:val="24"/>
              </w:rPr>
              <w:t>、</w:t>
            </w:r>
            <w:proofErr w:type="spellStart"/>
            <w:r w:rsidRPr="002E1AD7">
              <w:rPr>
                <w:rFonts w:ascii="Arial" w:eastAsia="標楷體" w:hAnsi="Arial" w:cs="Arial"/>
                <w:szCs w:val="24"/>
              </w:rPr>
              <w:t>dapagliflozin</w:t>
            </w:r>
            <w:proofErr w:type="spellEnd"/>
            <w:r w:rsidR="00505496" w:rsidRPr="002E1AD7">
              <w:rPr>
                <w:rFonts w:ascii="Arial" w:eastAsia="標楷體" w:hAnsi="Arial" w:cs="Arial"/>
                <w:szCs w:val="24"/>
              </w:rPr>
              <w:t>及</w:t>
            </w:r>
            <w:proofErr w:type="spellStart"/>
            <w:r w:rsidRPr="002E1AD7">
              <w:rPr>
                <w:rFonts w:ascii="Arial" w:eastAsia="標楷體" w:hAnsi="Arial" w:cs="Arial"/>
                <w:szCs w:val="24"/>
              </w:rPr>
              <w:t>empagliflozin</w:t>
            </w:r>
            <w:proofErr w:type="spellEnd"/>
            <w:r w:rsidR="00870E41" w:rsidRPr="002E1AD7">
              <w:rPr>
                <w:rFonts w:ascii="Arial" w:eastAsia="標楷體" w:hAnsi="Arial" w:cs="Arial"/>
                <w:szCs w:val="24"/>
              </w:rPr>
              <w:t xml:space="preserve"> 3</w:t>
            </w:r>
            <w:r w:rsidR="00870E41" w:rsidRPr="002E1AD7">
              <w:rPr>
                <w:rFonts w:ascii="Arial" w:eastAsia="標楷體" w:hAnsi="Arial" w:cs="Arial"/>
                <w:szCs w:val="24"/>
              </w:rPr>
              <w:t>種</w:t>
            </w:r>
            <w:r w:rsidR="00355C61" w:rsidRPr="002E1AD7">
              <w:rPr>
                <w:rFonts w:ascii="Arial" w:eastAsia="標楷體" w:hAnsi="Arial" w:cs="Arial"/>
                <w:szCs w:val="24"/>
                <w:shd w:val="clear" w:color="auto" w:fill="FFFFFF"/>
              </w:rPr>
              <w:t>成分</w:t>
            </w:r>
            <w:proofErr w:type="gramStart"/>
            <w:r w:rsidRPr="002E1AD7">
              <w:rPr>
                <w:rFonts w:ascii="Arial" w:eastAsia="標楷體" w:hAnsi="Arial" w:cs="Arial"/>
                <w:szCs w:val="24"/>
              </w:rPr>
              <w:t>）</w:t>
            </w:r>
            <w:proofErr w:type="gramEnd"/>
          </w:p>
        </w:tc>
      </w:tr>
      <w:tr w:rsidR="002E1AD7" w:rsidRPr="002E1AD7" w:rsidTr="007C418C">
        <w:trPr>
          <w:trHeight w:val="333"/>
          <w:jc w:val="center"/>
        </w:trPr>
        <w:tc>
          <w:tcPr>
            <w:tcW w:w="2268" w:type="dxa"/>
            <w:vAlign w:val="center"/>
          </w:tcPr>
          <w:p w:rsidR="00401BF5" w:rsidRPr="002E1AD7" w:rsidRDefault="00401BF5" w:rsidP="002E1AD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t>藥品名稱</w:t>
            </w:r>
          </w:p>
          <w:p w:rsidR="00401BF5" w:rsidRPr="002E1AD7" w:rsidRDefault="00401BF5" w:rsidP="002E1AD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t>及許可證字號</w:t>
            </w:r>
          </w:p>
        </w:tc>
        <w:tc>
          <w:tcPr>
            <w:tcW w:w="7994" w:type="dxa"/>
          </w:tcPr>
          <w:p w:rsidR="00401BF5" w:rsidRPr="002E1AD7" w:rsidRDefault="00401BF5" w:rsidP="002E1AD7">
            <w:pPr>
              <w:pStyle w:val="1"/>
              <w:spacing w:before="0" w:beforeAutospacing="0" w:after="0" w:afterAutospacing="0"/>
              <w:jc w:val="both"/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</w:pPr>
            <w:r w:rsidRPr="002E1AD7">
              <w:rPr>
                <w:rFonts w:ascii="Arial" w:eastAsia="標楷體" w:hAnsi="Arial" w:cs="Arial"/>
                <w:b w:val="0"/>
                <w:sz w:val="24"/>
                <w:szCs w:val="24"/>
              </w:rPr>
              <w:t>衛生福利部核准含</w:t>
            </w:r>
            <w:r w:rsidRPr="002E1AD7">
              <w:rPr>
                <w:rFonts w:ascii="Arial" w:eastAsia="標楷體" w:hAnsi="Arial" w:cs="Arial"/>
                <w:b w:val="0"/>
                <w:sz w:val="24"/>
                <w:szCs w:val="24"/>
              </w:rPr>
              <w:t>SGLT2</w:t>
            </w:r>
            <w:r w:rsidR="00E666DC" w:rsidRPr="002E1AD7">
              <w:rPr>
                <w:rFonts w:ascii="Arial" w:eastAsia="標楷體" w:hAnsi="Arial" w:cs="Arial"/>
                <w:b w:val="0"/>
                <w:sz w:val="24"/>
                <w:szCs w:val="24"/>
              </w:rPr>
              <w:t>抑制劑類</w:t>
            </w:r>
            <w:r w:rsidRPr="002E1AD7">
              <w:rPr>
                <w:rFonts w:ascii="Arial" w:eastAsia="標楷體" w:hAnsi="Arial" w:cs="Arial"/>
                <w:b w:val="0"/>
                <w:sz w:val="24"/>
                <w:szCs w:val="24"/>
              </w:rPr>
              <w:t>藥品製劑許可證共</w:t>
            </w:r>
            <w:r w:rsidRPr="002E1AD7">
              <w:rPr>
                <w:rFonts w:ascii="Arial" w:eastAsia="標楷體" w:hAnsi="Arial" w:cs="Arial"/>
                <w:b w:val="0"/>
                <w:sz w:val="24"/>
                <w:szCs w:val="24"/>
              </w:rPr>
              <w:t>4</w:t>
            </w:r>
            <w:r w:rsidRPr="002E1AD7">
              <w:rPr>
                <w:rFonts w:ascii="Arial" w:eastAsia="標楷體" w:hAnsi="Arial" w:cs="Arial"/>
                <w:b w:val="0"/>
                <w:sz w:val="24"/>
                <w:szCs w:val="24"/>
              </w:rPr>
              <w:t>張。網址：</w:t>
            </w:r>
            <w:r w:rsidR="00140034" w:rsidRPr="002E1AD7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fldChar w:fldCharType="begin"/>
            </w:r>
            <w:r w:rsidRPr="002E1AD7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instrText xml:space="preserve"> HYPERLINK "http://www.fda.gov.tw/MLMS/(S(fbnsiy45gjn1ufmichcptc3s))/H0001.aspx" </w:instrText>
            </w:r>
            <w:r w:rsidR="00140034" w:rsidRPr="002E1AD7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fldChar w:fldCharType="separate"/>
            </w:r>
            <w:r w:rsidRPr="002E1AD7">
              <w:rPr>
                <w:rStyle w:val="ab"/>
                <w:rFonts w:ascii="Arial" w:eastAsia="標楷體" w:hAnsi="Arial" w:cs="Arial"/>
                <w:b w:val="0"/>
                <w:bCs w:val="0"/>
                <w:color w:val="auto"/>
                <w:sz w:val="24"/>
                <w:szCs w:val="24"/>
              </w:rPr>
              <w:t>http://www.fda.gov.tw/MLMS/(S(fbnsiy45gjn1ufmichcptc3s))/H0001.aspx</w:t>
            </w:r>
            <w:r w:rsidR="00140034" w:rsidRPr="002E1AD7">
              <w:rPr>
                <w:rFonts w:ascii="Arial" w:eastAsia="標楷體" w:hAnsi="Arial" w:cs="Arial"/>
                <w:b w:val="0"/>
                <w:bCs w:val="0"/>
                <w:sz w:val="24"/>
                <w:szCs w:val="24"/>
              </w:rPr>
              <w:fldChar w:fldCharType="end"/>
            </w:r>
          </w:p>
        </w:tc>
      </w:tr>
      <w:tr w:rsidR="002E1AD7" w:rsidRPr="002E1AD7" w:rsidTr="007C418C">
        <w:trPr>
          <w:trHeight w:val="333"/>
          <w:jc w:val="center"/>
        </w:trPr>
        <w:tc>
          <w:tcPr>
            <w:tcW w:w="2268" w:type="dxa"/>
            <w:vAlign w:val="center"/>
          </w:tcPr>
          <w:p w:rsidR="00401BF5" w:rsidRPr="002E1AD7" w:rsidRDefault="00401BF5" w:rsidP="002E1AD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t>適應症</w:t>
            </w:r>
          </w:p>
        </w:tc>
        <w:tc>
          <w:tcPr>
            <w:tcW w:w="7994" w:type="dxa"/>
            <w:shd w:val="clear" w:color="auto" w:fill="auto"/>
          </w:tcPr>
          <w:p w:rsidR="00401BF5" w:rsidRPr="002E1AD7" w:rsidRDefault="00401BF5" w:rsidP="002E1AD7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t>第二型糖尿病。</w:t>
            </w:r>
          </w:p>
        </w:tc>
      </w:tr>
      <w:tr w:rsidR="002E1AD7" w:rsidRPr="002E1AD7" w:rsidTr="007C418C">
        <w:trPr>
          <w:jc w:val="center"/>
        </w:trPr>
        <w:tc>
          <w:tcPr>
            <w:tcW w:w="2268" w:type="dxa"/>
            <w:vAlign w:val="center"/>
          </w:tcPr>
          <w:p w:rsidR="00401BF5" w:rsidRPr="002E1AD7" w:rsidRDefault="00401BF5" w:rsidP="002E1AD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t>藥理作用機轉</w:t>
            </w:r>
          </w:p>
        </w:tc>
        <w:tc>
          <w:tcPr>
            <w:tcW w:w="7994" w:type="dxa"/>
            <w:shd w:val="clear" w:color="auto" w:fill="auto"/>
          </w:tcPr>
          <w:p w:rsidR="00401BF5" w:rsidRPr="002E1AD7" w:rsidRDefault="00401BF5" w:rsidP="002E1AD7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t>抑制</w:t>
            </w:r>
            <w:proofErr w:type="gramStart"/>
            <w:r w:rsidRPr="002E1AD7">
              <w:rPr>
                <w:rFonts w:ascii="Arial" w:eastAsia="標楷體" w:hAnsi="Arial" w:cs="Arial"/>
                <w:szCs w:val="24"/>
              </w:rPr>
              <w:t>近端腎小管</w:t>
            </w:r>
            <w:proofErr w:type="gramEnd"/>
            <w:r w:rsidRPr="002E1AD7">
              <w:rPr>
                <w:rFonts w:ascii="Arial" w:eastAsia="標楷體" w:hAnsi="Arial" w:cs="Arial"/>
                <w:szCs w:val="24"/>
              </w:rPr>
              <w:t>的鈉－葡萄糖共同轉運蛋白</w:t>
            </w:r>
            <w:r w:rsidRPr="002E1AD7">
              <w:rPr>
                <w:rFonts w:ascii="Arial" w:eastAsia="標楷體" w:hAnsi="Arial" w:cs="Arial"/>
                <w:szCs w:val="24"/>
              </w:rPr>
              <w:t>2</w:t>
            </w:r>
            <w:r w:rsidRPr="002E1AD7">
              <w:rPr>
                <w:rFonts w:ascii="Arial" w:eastAsia="標楷體" w:hAnsi="Arial" w:cs="Arial"/>
                <w:szCs w:val="24"/>
              </w:rPr>
              <w:t>（</w:t>
            </w:r>
            <w:r w:rsidRPr="002E1AD7">
              <w:rPr>
                <w:rFonts w:ascii="Arial" w:eastAsia="標楷體" w:hAnsi="Arial" w:cs="Arial"/>
                <w:szCs w:val="24"/>
              </w:rPr>
              <w:t>sodium-glucose cotransporter 2 , SGLT2</w:t>
            </w:r>
            <w:r w:rsidRPr="002E1AD7">
              <w:rPr>
                <w:rFonts w:ascii="Arial" w:eastAsia="標楷體" w:hAnsi="Arial" w:cs="Arial"/>
                <w:szCs w:val="24"/>
              </w:rPr>
              <w:t>），減少腎臟對已過濾之葡萄糖的再吸收作用，從而減低腎臟對葡萄糖再吸收</w:t>
            </w:r>
            <w:proofErr w:type="gramStart"/>
            <w:r w:rsidRPr="002E1AD7">
              <w:rPr>
                <w:rFonts w:ascii="Arial" w:eastAsia="標楷體" w:hAnsi="Arial" w:cs="Arial"/>
                <w:szCs w:val="24"/>
              </w:rPr>
              <w:t>的</w:t>
            </w:r>
            <w:r w:rsidR="00DA7D6B" w:rsidRPr="002E1AD7">
              <w:rPr>
                <w:rFonts w:ascii="Arial" w:eastAsia="標楷體" w:hAnsi="Arial" w:cs="Arial"/>
                <w:szCs w:val="24"/>
              </w:rPr>
              <w:t>閥值</w:t>
            </w:r>
            <w:proofErr w:type="gramEnd"/>
            <w:r w:rsidRPr="002E1AD7">
              <w:rPr>
                <w:rFonts w:ascii="Arial" w:eastAsia="標楷體" w:hAnsi="Arial" w:cs="Arial"/>
                <w:szCs w:val="24"/>
              </w:rPr>
              <w:t>，藉此增加葡萄糖經由尿液的排泄量。</w:t>
            </w:r>
          </w:p>
        </w:tc>
      </w:tr>
      <w:tr w:rsidR="002E1AD7" w:rsidRPr="002E1AD7" w:rsidTr="007C418C">
        <w:trPr>
          <w:trHeight w:val="896"/>
          <w:jc w:val="center"/>
        </w:trPr>
        <w:tc>
          <w:tcPr>
            <w:tcW w:w="2268" w:type="dxa"/>
            <w:vAlign w:val="center"/>
          </w:tcPr>
          <w:p w:rsidR="00401BF5" w:rsidRPr="002E1AD7" w:rsidRDefault="00401BF5" w:rsidP="002E1AD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t>訊息緣由</w:t>
            </w:r>
          </w:p>
        </w:tc>
        <w:tc>
          <w:tcPr>
            <w:tcW w:w="7994" w:type="dxa"/>
          </w:tcPr>
          <w:p w:rsidR="00401BF5" w:rsidRPr="002E1AD7" w:rsidRDefault="007D4817" w:rsidP="002E1AD7">
            <w:pPr>
              <w:ind w:left="17" w:firstLineChars="7" w:firstLine="17"/>
              <w:rPr>
                <w:rFonts w:ascii="Arial" w:eastAsia="標楷體" w:hAnsi="Arial" w:cs="Arial"/>
                <w:szCs w:val="24"/>
                <w:u w:val="single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t>2017/2/24</w:t>
            </w:r>
            <w:r w:rsidRPr="002E1AD7">
              <w:rPr>
                <w:rFonts w:ascii="Arial" w:eastAsia="標楷體" w:hAnsi="Arial" w:cs="Arial"/>
                <w:szCs w:val="24"/>
              </w:rPr>
              <w:t>歐盟</w:t>
            </w:r>
            <w:r w:rsidRPr="002E1AD7">
              <w:rPr>
                <w:rFonts w:ascii="Arial" w:eastAsia="標楷體" w:hAnsi="Arial" w:cs="Arial"/>
                <w:szCs w:val="24"/>
              </w:rPr>
              <w:t>EMA</w:t>
            </w:r>
            <w:r w:rsidRPr="002E1AD7">
              <w:rPr>
                <w:rFonts w:ascii="Arial" w:eastAsia="標楷體" w:hAnsi="Arial" w:cs="Arial"/>
                <w:szCs w:val="24"/>
              </w:rPr>
              <w:t>發布</w:t>
            </w:r>
            <w:r w:rsidRPr="002E1AD7">
              <w:rPr>
                <w:rFonts w:ascii="Arial" w:eastAsia="標楷體" w:hAnsi="Arial" w:cs="Arial"/>
                <w:szCs w:val="24"/>
              </w:rPr>
              <w:t>SGLT2</w:t>
            </w:r>
            <w:r w:rsidRPr="002E1AD7">
              <w:rPr>
                <w:rFonts w:ascii="Arial" w:eastAsia="標楷體" w:hAnsi="Arial" w:cs="Arial"/>
                <w:szCs w:val="24"/>
              </w:rPr>
              <w:t>抑制劑類藥品可能</w:t>
            </w:r>
            <w:r w:rsidR="00A7606F" w:rsidRPr="002E1AD7">
              <w:rPr>
                <w:rFonts w:ascii="Arial" w:eastAsia="標楷體" w:hAnsi="Arial" w:cs="Arial"/>
                <w:bCs/>
                <w:szCs w:val="24"/>
              </w:rPr>
              <w:t>增加</w:t>
            </w:r>
            <w:r w:rsidRPr="002E1AD7">
              <w:rPr>
                <w:rFonts w:ascii="Arial" w:eastAsia="標楷體" w:hAnsi="Arial" w:cs="Arial"/>
                <w:szCs w:val="24"/>
              </w:rPr>
              <w:t>腳趾截肢的潛在風險之安全性資訊。網址：</w:t>
            </w:r>
          </w:p>
          <w:p w:rsidR="00A2513F" w:rsidRPr="002E1AD7" w:rsidRDefault="00E226DC" w:rsidP="002E1AD7">
            <w:pPr>
              <w:ind w:left="17" w:firstLineChars="7" w:firstLine="17"/>
              <w:rPr>
                <w:rFonts w:ascii="Arial" w:eastAsia="標楷體" w:hAnsi="Arial" w:cs="Arial"/>
                <w:szCs w:val="24"/>
                <w:u w:val="single"/>
              </w:rPr>
            </w:pPr>
            <w:hyperlink r:id="rId9" w:history="1">
              <w:r w:rsidR="00A2513F" w:rsidRPr="002E1AD7">
                <w:rPr>
                  <w:rStyle w:val="ab"/>
                  <w:rFonts w:ascii="Arial" w:eastAsia="標楷體" w:hAnsi="Arial" w:cs="Arial"/>
                  <w:color w:val="auto"/>
                  <w:szCs w:val="24"/>
                </w:rPr>
                <w:t>http://www.ema.europa.eu/ema/index.jsp?curl=pages/news_and_events/news/2017/02/news_detail_002699.jsp&amp;mid=WC0b01ac058004d5c1</w:t>
              </w:r>
            </w:hyperlink>
          </w:p>
        </w:tc>
      </w:tr>
      <w:tr w:rsidR="002E1AD7" w:rsidRPr="002E1AD7" w:rsidTr="00EB3E46">
        <w:trPr>
          <w:trHeight w:val="2623"/>
          <w:jc w:val="center"/>
        </w:trPr>
        <w:tc>
          <w:tcPr>
            <w:tcW w:w="2268" w:type="dxa"/>
            <w:vAlign w:val="center"/>
          </w:tcPr>
          <w:p w:rsidR="00401BF5" w:rsidRPr="002E1AD7" w:rsidRDefault="00401BF5" w:rsidP="002E1AD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t>藥品安全有關資訊分析及描述</w:t>
            </w:r>
          </w:p>
        </w:tc>
        <w:tc>
          <w:tcPr>
            <w:tcW w:w="7994" w:type="dxa"/>
          </w:tcPr>
          <w:p w:rsidR="00A2513F" w:rsidRPr="002E1AD7" w:rsidRDefault="00A2513F" w:rsidP="002E1AD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482" w:hanging="482"/>
              <w:jc w:val="both"/>
              <w:rPr>
                <w:rFonts w:ascii="Arial" w:eastAsia="標楷體" w:hAnsi="Arial" w:cs="Arial"/>
                <w:bCs/>
              </w:rPr>
            </w:pPr>
            <w:r w:rsidRPr="002E1AD7">
              <w:rPr>
                <w:rFonts w:ascii="Arial" w:eastAsia="標楷體" w:hAnsi="Arial" w:cs="Arial"/>
                <w:bCs/>
              </w:rPr>
              <w:t>歐盟</w:t>
            </w:r>
            <w:r w:rsidRPr="002E1AD7">
              <w:rPr>
                <w:rFonts w:ascii="Arial" w:eastAsia="標楷體" w:hAnsi="Arial" w:cs="Arial"/>
                <w:bCs/>
              </w:rPr>
              <w:t>EMA</w:t>
            </w:r>
            <w:r w:rsidRPr="002E1AD7">
              <w:rPr>
                <w:rFonts w:ascii="Arial" w:eastAsia="標楷體" w:hAnsi="Arial" w:cs="Arial"/>
                <w:bCs/>
              </w:rPr>
              <w:t>從臨床試驗發現，</w:t>
            </w:r>
            <w:r w:rsidR="000E44BD" w:rsidRPr="002E1AD7">
              <w:rPr>
                <w:rFonts w:ascii="Arial" w:eastAsia="標楷體" w:hAnsi="Arial" w:cs="Arial"/>
                <w:bCs/>
              </w:rPr>
              <w:t>服</w:t>
            </w:r>
            <w:r w:rsidRPr="002E1AD7">
              <w:rPr>
                <w:rFonts w:ascii="Arial" w:eastAsia="標楷體" w:hAnsi="Arial" w:cs="Arial"/>
                <w:bCs/>
              </w:rPr>
              <w:t>用</w:t>
            </w:r>
            <w:r w:rsidR="00A7606F" w:rsidRPr="002E1AD7">
              <w:rPr>
                <w:rFonts w:ascii="Arial" w:eastAsia="標楷體" w:hAnsi="Arial" w:cs="Arial"/>
                <w:bCs/>
              </w:rPr>
              <w:t>含</w:t>
            </w:r>
            <w:proofErr w:type="spellStart"/>
            <w:r w:rsidRPr="002E1AD7">
              <w:rPr>
                <w:rFonts w:ascii="Arial" w:eastAsia="標楷體" w:hAnsi="Arial" w:cs="Arial"/>
                <w:bCs/>
              </w:rPr>
              <w:t>canagliflozin</w:t>
            </w:r>
            <w:proofErr w:type="spellEnd"/>
            <w:r w:rsidR="00A7606F" w:rsidRPr="002E1AD7">
              <w:rPr>
                <w:rFonts w:ascii="Arial" w:eastAsia="標楷體" w:hAnsi="Arial" w:cs="Arial"/>
                <w:bCs/>
              </w:rPr>
              <w:t>成分藥品</w:t>
            </w:r>
            <w:r w:rsidR="0070229A" w:rsidRPr="002E1AD7">
              <w:rPr>
                <w:rFonts w:ascii="Arial" w:eastAsia="標楷體" w:hAnsi="Arial" w:cs="Arial"/>
                <w:bCs/>
              </w:rPr>
              <w:t>之</w:t>
            </w:r>
            <w:r w:rsidRPr="002E1AD7">
              <w:rPr>
                <w:rFonts w:ascii="Arial" w:eastAsia="標楷體" w:hAnsi="Arial" w:cs="Arial"/>
                <w:bCs/>
              </w:rPr>
              <w:t>患</w:t>
            </w:r>
            <w:r w:rsidR="0070229A" w:rsidRPr="002E1AD7">
              <w:rPr>
                <w:rFonts w:ascii="Arial" w:eastAsia="標楷體" w:hAnsi="Arial" w:cs="Arial"/>
                <w:bCs/>
              </w:rPr>
              <w:t>者</w:t>
            </w:r>
            <w:r w:rsidRPr="002E1AD7">
              <w:rPr>
                <w:rFonts w:ascii="Arial" w:eastAsia="標楷體" w:hAnsi="Arial" w:cs="Arial"/>
                <w:bCs/>
              </w:rPr>
              <w:t>相較於</w:t>
            </w:r>
            <w:r w:rsidR="000E44BD" w:rsidRPr="002E1AD7">
              <w:rPr>
                <w:rFonts w:ascii="Arial" w:eastAsia="標楷體" w:hAnsi="Arial" w:cs="Arial"/>
                <w:bCs/>
              </w:rPr>
              <w:t>服</w:t>
            </w:r>
            <w:r w:rsidR="00D73AD7" w:rsidRPr="002E1AD7">
              <w:rPr>
                <w:rFonts w:ascii="Arial" w:eastAsia="標楷體" w:hAnsi="Arial" w:cs="Arial"/>
                <w:bCs/>
              </w:rPr>
              <w:t>用</w:t>
            </w:r>
            <w:r w:rsidRPr="002E1AD7">
              <w:rPr>
                <w:rFonts w:ascii="Arial" w:eastAsia="標楷體" w:hAnsi="Arial" w:cs="Arial"/>
                <w:bCs/>
              </w:rPr>
              <w:t>安慰劑</w:t>
            </w:r>
            <w:r w:rsidR="00AE5FCB" w:rsidRPr="002E1AD7">
              <w:rPr>
                <w:rFonts w:ascii="Arial" w:eastAsia="標楷體" w:hAnsi="Arial" w:cs="Arial"/>
                <w:bCs/>
              </w:rPr>
              <w:t>者</w:t>
            </w:r>
            <w:r w:rsidR="00E117CE" w:rsidRPr="002E1AD7">
              <w:rPr>
                <w:rFonts w:ascii="Arial" w:eastAsia="標楷體" w:hAnsi="Arial" w:cs="Arial"/>
                <w:bCs/>
              </w:rPr>
              <w:t>，</w:t>
            </w:r>
            <w:r w:rsidR="00A7606F" w:rsidRPr="002E1AD7">
              <w:rPr>
                <w:rFonts w:ascii="Arial" w:eastAsia="標楷體" w:hAnsi="Arial" w:cs="Arial"/>
                <w:bCs/>
              </w:rPr>
              <w:t>發生下肢截肢（主要影響腳趾）</w:t>
            </w:r>
            <w:r w:rsidR="00E117CE" w:rsidRPr="002E1AD7">
              <w:rPr>
                <w:rFonts w:ascii="Arial" w:eastAsia="標楷體" w:hAnsi="Arial" w:cs="Arial"/>
                <w:bCs/>
              </w:rPr>
              <w:t>的機率較高，</w:t>
            </w:r>
            <w:r w:rsidR="00AE5FCB" w:rsidRPr="002E1AD7">
              <w:rPr>
                <w:rFonts w:ascii="Arial" w:eastAsia="標楷體" w:hAnsi="Arial" w:cs="Arial"/>
                <w:bCs/>
              </w:rPr>
              <w:t>其機轉</w:t>
            </w:r>
            <w:r w:rsidR="00A92176" w:rsidRPr="002E1AD7">
              <w:rPr>
                <w:rFonts w:ascii="Arial" w:eastAsia="標楷體" w:hAnsi="Arial" w:cs="Arial"/>
                <w:bCs/>
              </w:rPr>
              <w:t>目前</w:t>
            </w:r>
            <w:r w:rsidR="00AE5FCB" w:rsidRPr="002E1AD7">
              <w:rPr>
                <w:rFonts w:ascii="Arial" w:eastAsia="標楷體" w:hAnsi="Arial" w:cs="Arial"/>
                <w:bCs/>
              </w:rPr>
              <w:t>尚不清楚。</w:t>
            </w:r>
          </w:p>
          <w:p w:rsidR="00A2513F" w:rsidRPr="002E1AD7" w:rsidRDefault="004D3952" w:rsidP="002E1AD7">
            <w:pPr>
              <w:pStyle w:val="Web"/>
              <w:numPr>
                <w:ilvl w:val="0"/>
                <w:numId w:val="2"/>
              </w:numPr>
              <w:spacing w:before="0" w:beforeAutospacing="0" w:after="0" w:afterAutospacing="0"/>
              <w:ind w:left="482" w:hanging="482"/>
              <w:jc w:val="both"/>
              <w:rPr>
                <w:rFonts w:ascii="Arial" w:eastAsia="標楷體" w:hAnsi="Arial" w:cs="Arial"/>
                <w:bCs/>
              </w:rPr>
            </w:pPr>
            <w:r w:rsidRPr="002E1AD7">
              <w:rPr>
                <w:rFonts w:ascii="Arial" w:eastAsia="標楷體" w:hAnsi="Arial" w:cs="Arial"/>
              </w:rPr>
              <w:t>其他</w:t>
            </w:r>
            <w:r w:rsidRPr="002E1AD7">
              <w:rPr>
                <w:rFonts w:ascii="Arial" w:eastAsia="標楷體" w:hAnsi="Arial" w:cs="Arial"/>
              </w:rPr>
              <w:t>SGLT2</w:t>
            </w:r>
            <w:r w:rsidRPr="002E1AD7">
              <w:rPr>
                <w:rFonts w:ascii="Arial" w:eastAsia="標楷體" w:hAnsi="Arial" w:cs="Arial"/>
              </w:rPr>
              <w:t>抑制劑類藥品</w:t>
            </w:r>
            <w:r w:rsidR="00A92176" w:rsidRPr="002E1AD7">
              <w:rPr>
                <w:rFonts w:ascii="Arial" w:eastAsia="標楷體" w:hAnsi="Arial" w:cs="Arial"/>
              </w:rPr>
              <w:t>（含</w:t>
            </w:r>
            <w:proofErr w:type="spellStart"/>
            <w:r w:rsidR="00A92176" w:rsidRPr="002E1AD7">
              <w:rPr>
                <w:rFonts w:ascii="Arial" w:eastAsia="標楷體" w:hAnsi="Arial" w:cs="Arial"/>
              </w:rPr>
              <w:t>dapagliflozin</w:t>
            </w:r>
            <w:proofErr w:type="spellEnd"/>
            <w:r w:rsidR="00A92176" w:rsidRPr="002E1AD7">
              <w:rPr>
                <w:rFonts w:ascii="Arial" w:eastAsia="標楷體" w:hAnsi="Arial" w:cs="Arial"/>
              </w:rPr>
              <w:t>及</w:t>
            </w:r>
            <w:proofErr w:type="spellStart"/>
            <w:r w:rsidR="00A92176" w:rsidRPr="002E1AD7">
              <w:rPr>
                <w:rFonts w:ascii="Arial" w:eastAsia="標楷體" w:hAnsi="Arial" w:cs="Arial"/>
              </w:rPr>
              <w:t>empagliflozin</w:t>
            </w:r>
            <w:proofErr w:type="spellEnd"/>
            <w:r w:rsidR="00A92176" w:rsidRPr="002E1AD7">
              <w:rPr>
                <w:rFonts w:ascii="Arial" w:eastAsia="標楷體" w:hAnsi="Arial" w:cs="Arial"/>
                <w:shd w:val="clear" w:color="auto" w:fill="FFFFFF"/>
              </w:rPr>
              <w:t>成分</w:t>
            </w:r>
            <w:r w:rsidR="00A92176" w:rsidRPr="002E1AD7">
              <w:rPr>
                <w:rFonts w:ascii="Arial" w:eastAsia="標楷體" w:hAnsi="Arial" w:cs="Arial"/>
              </w:rPr>
              <w:t>藥品）</w:t>
            </w:r>
            <w:r w:rsidR="00A92176" w:rsidRPr="002E1AD7">
              <w:rPr>
                <w:rFonts w:ascii="Arial" w:eastAsia="標楷體" w:hAnsi="Arial" w:cs="Arial"/>
                <w:bCs/>
              </w:rPr>
              <w:t>目前</w:t>
            </w:r>
            <w:r w:rsidR="00A2513F" w:rsidRPr="002E1AD7">
              <w:rPr>
                <w:rFonts w:ascii="Arial" w:eastAsia="標楷體" w:hAnsi="Arial" w:cs="Arial"/>
                <w:shd w:val="clear" w:color="auto" w:fill="FFFFFF"/>
              </w:rPr>
              <w:t>尚未發現有增加下肢截肢</w:t>
            </w:r>
            <w:r w:rsidR="00A92176" w:rsidRPr="002E1AD7">
              <w:rPr>
                <w:rFonts w:ascii="Arial" w:eastAsia="標楷體" w:hAnsi="Arial" w:cs="Arial"/>
                <w:shd w:val="clear" w:color="auto" w:fill="FFFFFF"/>
              </w:rPr>
              <w:t>的</w:t>
            </w:r>
            <w:r w:rsidR="00A2513F" w:rsidRPr="002E1AD7">
              <w:rPr>
                <w:rFonts w:ascii="Arial" w:eastAsia="標楷體" w:hAnsi="Arial" w:cs="Arial"/>
                <w:shd w:val="clear" w:color="auto" w:fill="FFFFFF"/>
              </w:rPr>
              <w:t>風險</w:t>
            </w:r>
            <w:r w:rsidR="00FA4A7C" w:rsidRPr="002E1AD7">
              <w:rPr>
                <w:rFonts w:ascii="Arial" w:eastAsia="標楷體" w:hAnsi="Arial" w:cs="Arial"/>
                <w:shd w:val="clear" w:color="auto" w:fill="FFFFFF"/>
              </w:rPr>
              <w:t>，</w:t>
            </w:r>
            <w:r w:rsidR="00A2513F" w:rsidRPr="002E1AD7">
              <w:rPr>
                <w:rFonts w:ascii="Arial" w:eastAsia="標楷體" w:hAnsi="Arial" w:cs="Arial"/>
                <w:shd w:val="clear" w:color="auto" w:fill="FFFFFF"/>
              </w:rPr>
              <w:t>然而，</w:t>
            </w:r>
            <w:r w:rsidR="00FA4A7C" w:rsidRPr="002E1AD7">
              <w:rPr>
                <w:rFonts w:ascii="Arial" w:eastAsia="標楷體" w:hAnsi="Arial" w:cs="Arial"/>
                <w:shd w:val="clear" w:color="auto" w:fill="FFFFFF"/>
              </w:rPr>
              <w:t>因</w:t>
            </w:r>
            <w:r w:rsidR="00FA4A7C" w:rsidRPr="002E1AD7">
              <w:rPr>
                <w:rFonts w:ascii="Arial" w:eastAsia="標楷體" w:hAnsi="Arial" w:cs="Arial"/>
                <w:bCs/>
              </w:rPr>
              <w:t>目前</w:t>
            </w:r>
            <w:r w:rsidR="00FA4A7C" w:rsidRPr="002E1AD7">
              <w:rPr>
                <w:rFonts w:ascii="Arial" w:eastAsia="標楷體" w:hAnsi="Arial" w:cs="Arial"/>
                <w:shd w:val="clear" w:color="auto" w:fill="FFFFFF"/>
              </w:rPr>
              <w:t>資料</w:t>
            </w:r>
            <w:r w:rsidR="00A2513F" w:rsidRPr="002E1AD7">
              <w:rPr>
                <w:rFonts w:ascii="Arial" w:eastAsia="標楷體" w:hAnsi="Arial" w:cs="Arial"/>
                <w:shd w:val="clear" w:color="auto" w:fill="FFFFFF"/>
              </w:rPr>
              <w:t>仍有限，</w:t>
            </w:r>
            <w:r w:rsidR="00FA4A7C" w:rsidRPr="002E1AD7">
              <w:rPr>
                <w:rFonts w:ascii="Arial" w:eastAsia="標楷體" w:hAnsi="Arial" w:cs="Arial"/>
                <w:shd w:val="clear" w:color="auto" w:fill="FFFFFF"/>
              </w:rPr>
              <w:t>該兩成分</w:t>
            </w:r>
            <w:r w:rsidR="00A2513F" w:rsidRPr="002E1AD7">
              <w:rPr>
                <w:rFonts w:ascii="Arial" w:eastAsia="標楷體" w:hAnsi="Arial" w:cs="Arial"/>
                <w:shd w:val="clear" w:color="auto" w:fill="FFFFFF"/>
              </w:rPr>
              <w:t>藥</w:t>
            </w:r>
            <w:r w:rsidR="00FA4A7C" w:rsidRPr="002E1AD7">
              <w:rPr>
                <w:rFonts w:ascii="Arial" w:eastAsia="標楷體" w:hAnsi="Arial" w:cs="Arial"/>
                <w:shd w:val="clear" w:color="auto" w:fill="FFFFFF"/>
              </w:rPr>
              <w:t>品</w:t>
            </w:r>
            <w:r w:rsidR="00A2513F" w:rsidRPr="002E1AD7">
              <w:rPr>
                <w:rFonts w:ascii="Arial" w:eastAsia="標楷體" w:hAnsi="Arial" w:cs="Arial"/>
                <w:shd w:val="clear" w:color="auto" w:fill="FFFFFF"/>
              </w:rPr>
              <w:t>也可能</w:t>
            </w:r>
            <w:r w:rsidR="00EB3E46" w:rsidRPr="002E1AD7">
              <w:rPr>
                <w:rFonts w:ascii="Arial" w:eastAsia="標楷體" w:hAnsi="Arial" w:cs="Arial"/>
                <w:bCs/>
              </w:rPr>
              <w:t>存在相同風險</w:t>
            </w:r>
            <w:r w:rsidR="00A2513F" w:rsidRPr="002E1AD7">
              <w:rPr>
                <w:rFonts w:ascii="Arial" w:eastAsia="標楷體" w:hAnsi="Arial" w:cs="Arial"/>
                <w:shd w:val="clear" w:color="auto" w:fill="FFFFFF"/>
              </w:rPr>
              <w:t>。</w:t>
            </w:r>
          </w:p>
          <w:p w:rsidR="00401BF5" w:rsidRPr="002E1AD7" w:rsidRDefault="00FA4A7C" w:rsidP="002E1AD7">
            <w:pPr>
              <w:pStyle w:val="a9"/>
              <w:numPr>
                <w:ilvl w:val="0"/>
                <w:numId w:val="2"/>
              </w:numPr>
              <w:ind w:leftChars="0" w:left="482" w:hanging="482"/>
              <w:jc w:val="both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bCs/>
                <w:szCs w:val="24"/>
              </w:rPr>
              <w:t>歐盟</w:t>
            </w:r>
            <w:r w:rsidRPr="002E1AD7">
              <w:rPr>
                <w:rFonts w:ascii="Arial" w:eastAsia="標楷體" w:hAnsi="Arial" w:cs="Arial"/>
                <w:szCs w:val="24"/>
                <w:shd w:val="clear" w:color="auto" w:fill="FFFFFF"/>
              </w:rPr>
              <w:t>EMA</w:t>
            </w:r>
            <w:r w:rsidRPr="002E1AD7">
              <w:rPr>
                <w:rFonts w:ascii="Arial" w:eastAsia="標楷體" w:hAnsi="Arial" w:cs="Arial"/>
                <w:szCs w:val="24"/>
                <w:shd w:val="clear" w:color="auto" w:fill="FFFFFF"/>
              </w:rPr>
              <w:t>將</w:t>
            </w:r>
            <w:r w:rsidRPr="002E1AD7">
              <w:rPr>
                <w:rFonts w:ascii="Arial" w:eastAsia="標楷體" w:hAnsi="Arial" w:cs="Arial"/>
                <w:szCs w:val="24"/>
              </w:rPr>
              <w:t>更新</w:t>
            </w:r>
            <w:r w:rsidR="00A76290" w:rsidRPr="002E1AD7">
              <w:rPr>
                <w:rFonts w:ascii="Arial" w:eastAsia="標楷體" w:hAnsi="Arial" w:cs="Arial"/>
                <w:szCs w:val="24"/>
              </w:rPr>
              <w:t>所有</w:t>
            </w:r>
            <w:r w:rsidRPr="002E1AD7">
              <w:rPr>
                <w:rFonts w:ascii="Arial" w:eastAsia="標楷體" w:hAnsi="Arial" w:cs="Arial"/>
                <w:szCs w:val="24"/>
              </w:rPr>
              <w:t>SGLT2</w:t>
            </w:r>
            <w:r w:rsidRPr="002E1AD7">
              <w:rPr>
                <w:rFonts w:ascii="Arial" w:eastAsia="標楷體" w:hAnsi="Arial" w:cs="Arial"/>
                <w:szCs w:val="24"/>
              </w:rPr>
              <w:t>抑制劑類藥品仿單以包含上述風險。</w:t>
            </w:r>
          </w:p>
        </w:tc>
      </w:tr>
      <w:tr w:rsidR="002E1AD7" w:rsidRPr="002E1AD7" w:rsidTr="002F0B40">
        <w:trPr>
          <w:trHeight w:val="2258"/>
          <w:jc w:val="center"/>
        </w:trPr>
        <w:tc>
          <w:tcPr>
            <w:tcW w:w="2268" w:type="dxa"/>
            <w:vAlign w:val="center"/>
          </w:tcPr>
          <w:p w:rsidR="00094F6B" w:rsidRPr="002E1AD7" w:rsidRDefault="00094F6B" w:rsidP="002E1AD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br w:type="page"/>
              <w:t>TFDA</w:t>
            </w:r>
          </w:p>
          <w:p w:rsidR="00094F6B" w:rsidRPr="002E1AD7" w:rsidRDefault="00094F6B" w:rsidP="002E1AD7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t>風險溝通說明</w:t>
            </w:r>
          </w:p>
        </w:tc>
        <w:tc>
          <w:tcPr>
            <w:tcW w:w="7994" w:type="dxa"/>
          </w:tcPr>
          <w:p w:rsidR="00094F6B" w:rsidRPr="002E1AD7" w:rsidRDefault="00094F6B" w:rsidP="006D0CB5">
            <w:pPr>
              <w:pStyle w:val="a9"/>
              <w:numPr>
                <w:ilvl w:val="0"/>
                <w:numId w:val="5"/>
              </w:numPr>
              <w:spacing w:beforeLines="50" w:before="180"/>
              <w:ind w:leftChars="0" w:left="482" w:hanging="482"/>
              <w:jc w:val="both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b/>
                <w:szCs w:val="24"/>
              </w:rPr>
              <w:t>食品藥物管理署說明：</w:t>
            </w:r>
          </w:p>
          <w:p w:rsidR="006713DF" w:rsidRPr="002E1AD7" w:rsidRDefault="00094F6B" w:rsidP="002E1AD7">
            <w:pPr>
              <w:pStyle w:val="a9"/>
              <w:numPr>
                <w:ilvl w:val="0"/>
                <w:numId w:val="6"/>
              </w:numPr>
              <w:ind w:leftChars="0" w:left="587" w:hanging="425"/>
              <w:jc w:val="both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t>經查，我國目前尚未核准含</w:t>
            </w:r>
            <w:proofErr w:type="spellStart"/>
            <w:r w:rsidRPr="002E1AD7">
              <w:rPr>
                <w:rFonts w:ascii="Arial" w:eastAsia="標楷體" w:hAnsi="Arial" w:cs="Arial"/>
                <w:szCs w:val="24"/>
                <w:lang w:val="en"/>
              </w:rPr>
              <w:t>canagliflozin</w:t>
            </w:r>
            <w:proofErr w:type="spellEnd"/>
            <w:r w:rsidRPr="002E1AD7">
              <w:rPr>
                <w:rFonts w:ascii="Arial" w:eastAsia="標楷體" w:hAnsi="Arial" w:cs="Arial"/>
                <w:szCs w:val="24"/>
              </w:rPr>
              <w:t>成分之藥品許可證</w:t>
            </w:r>
            <w:r w:rsidR="00580176">
              <w:rPr>
                <w:rFonts w:ascii="Arial" w:eastAsia="標楷體" w:hAnsi="Arial" w:cs="Arial" w:hint="eastAsia"/>
                <w:szCs w:val="24"/>
              </w:rPr>
              <w:t>。</w:t>
            </w:r>
            <w:r w:rsidRPr="002E1AD7">
              <w:rPr>
                <w:rFonts w:ascii="Arial" w:eastAsia="標楷體" w:hAnsi="Arial" w:cs="Arial"/>
                <w:szCs w:val="24"/>
              </w:rPr>
              <w:t>已分別核准含</w:t>
            </w:r>
            <w:proofErr w:type="spellStart"/>
            <w:r w:rsidRPr="002E1AD7">
              <w:rPr>
                <w:rFonts w:ascii="Arial" w:eastAsia="標楷體" w:hAnsi="Arial" w:cs="Arial"/>
                <w:szCs w:val="24"/>
                <w:lang w:val="en"/>
              </w:rPr>
              <w:t>dapagliflozin</w:t>
            </w:r>
            <w:proofErr w:type="spellEnd"/>
            <w:r w:rsidRPr="002E1AD7">
              <w:rPr>
                <w:rFonts w:ascii="Arial" w:eastAsia="標楷體" w:hAnsi="Arial" w:cs="Arial"/>
                <w:szCs w:val="24"/>
              </w:rPr>
              <w:t>成分及含</w:t>
            </w:r>
            <w:proofErr w:type="spellStart"/>
            <w:r w:rsidRPr="002E1AD7">
              <w:rPr>
                <w:rFonts w:ascii="Arial" w:eastAsia="標楷體" w:hAnsi="Arial" w:cs="Arial"/>
                <w:szCs w:val="24"/>
                <w:lang w:val="en"/>
              </w:rPr>
              <w:t>empagliflozin</w:t>
            </w:r>
            <w:proofErr w:type="spellEnd"/>
            <w:r w:rsidRPr="002E1AD7">
              <w:rPr>
                <w:rFonts w:ascii="Arial" w:eastAsia="標楷體" w:hAnsi="Arial" w:cs="Arial"/>
                <w:szCs w:val="24"/>
              </w:rPr>
              <w:t>成分之藥品許可證各</w:t>
            </w:r>
            <w:r w:rsidRPr="002E1AD7">
              <w:rPr>
                <w:rFonts w:ascii="Arial" w:eastAsia="標楷體" w:hAnsi="Arial" w:cs="Arial"/>
                <w:szCs w:val="24"/>
              </w:rPr>
              <w:t>2</w:t>
            </w:r>
            <w:r w:rsidRPr="002E1AD7">
              <w:rPr>
                <w:rFonts w:ascii="Arial" w:eastAsia="標楷體" w:hAnsi="Arial" w:cs="Arial"/>
                <w:szCs w:val="24"/>
              </w:rPr>
              <w:t>張，</w:t>
            </w:r>
            <w:r w:rsidR="00580176">
              <w:rPr>
                <w:rFonts w:ascii="Arial" w:eastAsia="標楷體" w:hAnsi="Arial" w:cs="Arial" w:hint="eastAsia"/>
                <w:szCs w:val="24"/>
              </w:rPr>
              <w:t>尚</w:t>
            </w:r>
            <w:r w:rsidRPr="002E1AD7">
              <w:rPr>
                <w:rFonts w:ascii="Arial" w:eastAsia="標楷體" w:hAnsi="Arial" w:cs="Arial"/>
                <w:szCs w:val="24"/>
              </w:rPr>
              <w:t>未刊載</w:t>
            </w:r>
            <w:r w:rsidR="00A76290" w:rsidRPr="002E1AD7">
              <w:rPr>
                <w:rFonts w:ascii="Arial" w:eastAsia="標楷體" w:hAnsi="Arial" w:cs="Arial"/>
                <w:bCs/>
                <w:szCs w:val="24"/>
              </w:rPr>
              <w:t>下肢截肢</w:t>
            </w:r>
            <w:r w:rsidRPr="002E1AD7">
              <w:rPr>
                <w:rFonts w:ascii="Arial" w:eastAsia="標楷體" w:hAnsi="Arial" w:cs="Arial"/>
                <w:szCs w:val="24"/>
              </w:rPr>
              <w:t>相關風險。</w:t>
            </w:r>
          </w:p>
          <w:p w:rsidR="00094F6B" w:rsidRPr="002E1AD7" w:rsidRDefault="00650AB2" w:rsidP="002E1AD7">
            <w:pPr>
              <w:pStyle w:val="a9"/>
              <w:numPr>
                <w:ilvl w:val="0"/>
                <w:numId w:val="6"/>
              </w:numPr>
              <w:ind w:leftChars="0" w:left="587" w:hanging="425"/>
              <w:jc w:val="both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Arial" w:eastAsia="標楷體" w:hAnsi="Arial" w:cs="Arial"/>
                <w:szCs w:val="24"/>
              </w:rPr>
              <w:t>針對是否更新所有</w:t>
            </w:r>
            <w:r w:rsidRPr="002E1AD7">
              <w:rPr>
                <w:rFonts w:ascii="Arial" w:eastAsia="標楷體" w:hAnsi="Arial" w:cs="Arial"/>
                <w:szCs w:val="24"/>
              </w:rPr>
              <w:t>SGLT2</w:t>
            </w:r>
            <w:r w:rsidRPr="002E1AD7">
              <w:rPr>
                <w:rFonts w:ascii="Arial" w:eastAsia="標楷體" w:hAnsi="Arial" w:cs="Arial"/>
                <w:szCs w:val="24"/>
              </w:rPr>
              <w:t>抑制劑類藥品</w:t>
            </w:r>
            <w:r w:rsidR="00692878" w:rsidRPr="002E1AD7">
              <w:rPr>
                <w:rFonts w:ascii="Arial" w:eastAsia="標楷體" w:hAnsi="Arial" w:cs="Arial"/>
                <w:szCs w:val="24"/>
              </w:rPr>
              <w:t>之中文</w:t>
            </w:r>
            <w:r w:rsidRPr="002E1AD7">
              <w:rPr>
                <w:rFonts w:ascii="Arial" w:eastAsia="標楷體" w:hAnsi="Arial" w:cs="Arial"/>
                <w:szCs w:val="24"/>
              </w:rPr>
              <w:t>仿單以包含</w:t>
            </w:r>
            <w:r w:rsidRPr="002E1AD7">
              <w:rPr>
                <w:rFonts w:ascii="Arial" w:eastAsia="標楷體" w:hAnsi="Arial" w:cs="Arial"/>
                <w:bCs/>
                <w:szCs w:val="24"/>
              </w:rPr>
              <w:t>下肢截肢</w:t>
            </w:r>
            <w:r w:rsidRPr="002E1AD7">
              <w:rPr>
                <w:rFonts w:ascii="Arial" w:eastAsia="標楷體" w:hAnsi="Arial" w:cs="Arial"/>
                <w:szCs w:val="24"/>
              </w:rPr>
              <w:t>相關風險</w:t>
            </w:r>
            <w:r w:rsidR="00692878" w:rsidRPr="002E1AD7">
              <w:rPr>
                <w:rFonts w:ascii="Arial" w:eastAsia="標楷體" w:hAnsi="Arial" w:cs="Arial"/>
                <w:szCs w:val="24"/>
              </w:rPr>
              <w:t>，</w:t>
            </w:r>
            <w:proofErr w:type="gramStart"/>
            <w:r w:rsidR="00692878" w:rsidRPr="002E1AD7">
              <w:rPr>
                <w:rFonts w:ascii="Arial" w:eastAsia="標楷體" w:hAnsi="Arial" w:cs="Arial"/>
                <w:szCs w:val="24"/>
              </w:rPr>
              <w:t>本署現</w:t>
            </w:r>
            <w:proofErr w:type="gramEnd"/>
            <w:r w:rsidR="00692878" w:rsidRPr="002E1AD7">
              <w:rPr>
                <w:rFonts w:ascii="Arial" w:eastAsia="標楷體" w:hAnsi="Arial" w:cs="Arial"/>
                <w:szCs w:val="24"/>
              </w:rPr>
              <w:t>正</w:t>
            </w:r>
            <w:r w:rsidRPr="002E1AD7">
              <w:rPr>
                <w:rFonts w:ascii="Arial" w:eastAsia="標楷體" w:hAnsi="Arial" w:cs="Arial"/>
                <w:szCs w:val="24"/>
              </w:rPr>
              <w:t>評估中。</w:t>
            </w:r>
          </w:p>
          <w:p w:rsidR="00057FA3" w:rsidRPr="002E1AD7" w:rsidRDefault="00057FA3" w:rsidP="006D0CB5">
            <w:pPr>
              <w:pStyle w:val="a9"/>
              <w:numPr>
                <w:ilvl w:val="0"/>
                <w:numId w:val="5"/>
              </w:numPr>
              <w:spacing w:beforeLines="50" w:before="180"/>
              <w:ind w:leftChars="0" w:left="482" w:hanging="482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2E1AD7">
              <w:rPr>
                <w:rFonts w:ascii="Arial" w:eastAsia="標楷體" w:hAnsi="Arial" w:cs="Arial"/>
                <w:b/>
                <w:szCs w:val="24"/>
              </w:rPr>
              <w:t>醫療人員應注意事項：</w:t>
            </w:r>
          </w:p>
          <w:p w:rsidR="00057FA3" w:rsidRPr="002E1AD7" w:rsidRDefault="00057FA3" w:rsidP="002E1AD7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ind w:left="587" w:hanging="425"/>
              <w:jc w:val="both"/>
              <w:rPr>
                <w:rFonts w:ascii="Arial" w:eastAsia="標楷體" w:hAnsi="Arial" w:cs="Arial"/>
              </w:rPr>
            </w:pPr>
            <w:r w:rsidRPr="002E1AD7">
              <w:rPr>
                <w:rFonts w:ascii="Arial" w:eastAsia="標楷體" w:hAnsi="Arial" w:cs="Arial"/>
              </w:rPr>
              <w:t>含</w:t>
            </w:r>
            <w:proofErr w:type="spellStart"/>
            <w:r w:rsidRPr="002E1AD7">
              <w:rPr>
                <w:rFonts w:ascii="Arial" w:eastAsia="標楷體" w:hAnsi="Arial" w:cs="Arial"/>
              </w:rPr>
              <w:t>dapagliflozin</w:t>
            </w:r>
            <w:proofErr w:type="spellEnd"/>
            <w:r w:rsidRPr="002E1AD7">
              <w:rPr>
                <w:rFonts w:ascii="Arial" w:eastAsia="標楷體" w:hAnsi="Arial" w:cs="Arial"/>
              </w:rPr>
              <w:t>及</w:t>
            </w:r>
            <w:proofErr w:type="spellStart"/>
            <w:r w:rsidRPr="002E1AD7">
              <w:rPr>
                <w:rFonts w:ascii="Arial" w:eastAsia="標楷體" w:hAnsi="Arial" w:cs="Arial"/>
              </w:rPr>
              <w:t>empagliflozin</w:t>
            </w:r>
            <w:proofErr w:type="spellEnd"/>
            <w:r w:rsidRPr="002E1AD7">
              <w:rPr>
                <w:rFonts w:ascii="Arial" w:eastAsia="標楷體" w:hAnsi="Arial" w:cs="Arial"/>
                <w:shd w:val="clear" w:color="auto" w:fill="FFFFFF"/>
              </w:rPr>
              <w:t>成分</w:t>
            </w:r>
            <w:r w:rsidRPr="002E1AD7">
              <w:rPr>
                <w:rFonts w:ascii="Arial" w:eastAsia="標楷體" w:hAnsi="Arial" w:cs="Arial"/>
              </w:rPr>
              <w:t>藥品</w:t>
            </w:r>
            <w:r w:rsidRPr="002E1AD7">
              <w:rPr>
                <w:rFonts w:ascii="Arial" w:eastAsia="標楷體" w:hAnsi="Arial" w:cs="Arial"/>
                <w:bCs/>
              </w:rPr>
              <w:t>目前</w:t>
            </w:r>
            <w:r w:rsidRPr="002E1AD7">
              <w:rPr>
                <w:rFonts w:ascii="Arial" w:eastAsia="標楷體" w:hAnsi="Arial" w:cs="Arial"/>
                <w:shd w:val="clear" w:color="auto" w:fill="FFFFFF"/>
              </w:rPr>
              <w:t>尚未發現有增加下肢截肢的風險，但因</w:t>
            </w:r>
            <w:r w:rsidRPr="002E1AD7">
              <w:rPr>
                <w:rFonts w:ascii="Arial" w:eastAsia="標楷體" w:hAnsi="Arial" w:cs="Arial"/>
                <w:bCs/>
              </w:rPr>
              <w:t>目前</w:t>
            </w:r>
            <w:r w:rsidRPr="002E1AD7">
              <w:rPr>
                <w:rFonts w:ascii="Arial" w:eastAsia="標楷體" w:hAnsi="Arial" w:cs="Arial"/>
                <w:shd w:val="clear" w:color="auto" w:fill="FFFFFF"/>
              </w:rPr>
              <w:t>資料仍有限，該兩成分藥品也可能</w:t>
            </w:r>
            <w:r w:rsidR="00EB3E46" w:rsidRPr="002E1AD7">
              <w:rPr>
                <w:rFonts w:ascii="Arial" w:eastAsia="標楷體" w:hAnsi="Arial" w:cs="Arial"/>
                <w:bCs/>
              </w:rPr>
              <w:t>存在相同風險</w:t>
            </w:r>
            <w:r w:rsidRPr="002E1AD7">
              <w:rPr>
                <w:rFonts w:ascii="Arial" w:eastAsia="標楷體" w:hAnsi="Arial" w:cs="Arial"/>
                <w:shd w:val="clear" w:color="auto" w:fill="FFFFFF"/>
              </w:rPr>
              <w:t>。</w:t>
            </w:r>
          </w:p>
          <w:p w:rsidR="00057FA3" w:rsidRPr="002B5680" w:rsidRDefault="00057FA3" w:rsidP="002E1AD7">
            <w:pPr>
              <w:pStyle w:val="Web"/>
              <w:numPr>
                <w:ilvl w:val="0"/>
                <w:numId w:val="4"/>
              </w:numPr>
              <w:spacing w:before="0" w:beforeAutospacing="0" w:after="0" w:afterAutospacing="0"/>
              <w:ind w:left="587" w:hanging="425"/>
              <w:jc w:val="both"/>
              <w:rPr>
                <w:rFonts w:ascii="Arial" w:eastAsia="標楷體" w:hAnsi="Arial" w:cs="Arial"/>
              </w:rPr>
            </w:pPr>
            <w:r w:rsidRPr="002E1AD7">
              <w:rPr>
                <w:rFonts w:ascii="Arial" w:eastAsia="標楷體" w:hAnsi="Arial" w:cs="Arial"/>
              </w:rPr>
              <w:t>應告知正在</w:t>
            </w:r>
            <w:r w:rsidRPr="002E1AD7">
              <w:rPr>
                <w:rFonts w:ascii="Arial" w:eastAsia="標楷體" w:hAnsi="Arial" w:cs="Arial"/>
                <w:bCs/>
              </w:rPr>
              <w:t>服</w:t>
            </w:r>
            <w:r w:rsidRPr="002E1AD7">
              <w:rPr>
                <w:rFonts w:ascii="Arial" w:eastAsia="標楷體" w:hAnsi="Arial" w:cs="Arial"/>
              </w:rPr>
              <w:t>用</w:t>
            </w:r>
            <w:r w:rsidRPr="002E1AD7">
              <w:rPr>
                <w:rFonts w:ascii="Arial" w:eastAsia="標楷體" w:hAnsi="Arial" w:cs="Arial"/>
              </w:rPr>
              <w:t>SGLT2</w:t>
            </w:r>
            <w:r w:rsidRPr="002E1AD7">
              <w:rPr>
                <w:rFonts w:ascii="Arial" w:eastAsia="標楷體" w:hAnsi="Arial" w:cs="Arial"/>
              </w:rPr>
              <w:t>抑制劑類藥品之患者，</w:t>
            </w:r>
            <w:r w:rsidRPr="002E1AD7">
              <w:rPr>
                <w:rFonts w:ascii="Arial" w:eastAsia="標楷體" w:hAnsi="Arial" w:cs="Arial"/>
                <w:bCs/>
              </w:rPr>
              <w:t>定期做預防性足部護理的重要性。</w:t>
            </w:r>
          </w:p>
          <w:p w:rsidR="002B5680" w:rsidRPr="002E1AD7" w:rsidRDefault="002B5680" w:rsidP="002B5680">
            <w:pPr>
              <w:pStyle w:val="a9"/>
              <w:numPr>
                <w:ilvl w:val="0"/>
                <w:numId w:val="5"/>
              </w:numPr>
              <w:spacing w:beforeLines="50" w:before="180"/>
              <w:ind w:leftChars="0" w:left="482" w:hanging="482"/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2E1AD7">
              <w:rPr>
                <w:rFonts w:ascii="Arial" w:eastAsia="標楷體" w:hAnsi="Arial" w:cs="Arial"/>
                <w:b/>
                <w:szCs w:val="24"/>
              </w:rPr>
              <w:t>病人應注意事項：</w:t>
            </w:r>
          </w:p>
          <w:p w:rsidR="002B5680" w:rsidRPr="002E1AD7" w:rsidRDefault="002B5680" w:rsidP="002B5680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587" w:hanging="425"/>
              <w:jc w:val="both"/>
              <w:rPr>
                <w:rFonts w:ascii="Arial" w:eastAsia="標楷體" w:hAnsi="Arial" w:cs="Arial"/>
              </w:rPr>
            </w:pPr>
            <w:r w:rsidRPr="002E1AD7">
              <w:rPr>
                <w:rFonts w:ascii="Arial" w:eastAsia="標楷體" w:hAnsi="Arial" w:cs="Arial"/>
                <w:bCs/>
              </w:rPr>
              <w:t>糖尿病患者本身發生傷口感染及潰瘍，導致截肢之風險即較高，若</w:t>
            </w:r>
            <w:r>
              <w:rPr>
                <w:rFonts w:ascii="Arial" w:eastAsia="標楷體" w:hAnsi="Arial" w:cs="Arial" w:hint="eastAsia"/>
                <w:bCs/>
              </w:rPr>
              <w:t>出</w:t>
            </w:r>
            <w:r w:rsidRPr="002E1AD7">
              <w:rPr>
                <w:rFonts w:ascii="Arial" w:eastAsia="標楷體" w:hAnsi="Arial" w:cs="Arial"/>
                <w:bCs/>
              </w:rPr>
              <w:t>現任何傷口、膚色變化或足部疼痛等情形，</w:t>
            </w:r>
            <w:r w:rsidRPr="002E1AD7">
              <w:rPr>
                <w:rFonts w:ascii="Arial" w:eastAsia="標楷體" w:hAnsi="Arial" w:cs="Arial"/>
              </w:rPr>
              <w:t>請告知您的醫師。</w:t>
            </w:r>
          </w:p>
          <w:p w:rsidR="002B5680" w:rsidRPr="002E1AD7" w:rsidRDefault="002B5680" w:rsidP="002B5680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587" w:hanging="425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bCs/>
              </w:rPr>
              <w:t>服藥期間</w:t>
            </w:r>
            <w:r w:rsidRPr="002E1AD7">
              <w:rPr>
                <w:rFonts w:ascii="Arial" w:eastAsia="標楷體" w:hAnsi="Arial" w:cs="Arial"/>
                <w:bCs/>
              </w:rPr>
              <w:t>請務必經</w:t>
            </w:r>
            <w:r>
              <w:rPr>
                <w:rFonts w:ascii="Arial" w:eastAsia="標楷體" w:hAnsi="Arial" w:cs="Arial"/>
                <w:bCs/>
              </w:rPr>
              <w:t>常注意足部</w:t>
            </w:r>
            <w:r w:rsidRPr="002E1AD7">
              <w:rPr>
                <w:rFonts w:ascii="Arial" w:eastAsia="標楷體" w:hAnsi="Arial" w:cs="Arial"/>
                <w:bCs/>
              </w:rPr>
              <w:t>變化，並遵從醫師指示，定期做預防性足部護理及適當補充水分。</w:t>
            </w:r>
          </w:p>
          <w:p w:rsidR="002B5680" w:rsidRPr="002B5680" w:rsidRDefault="002B5680" w:rsidP="002B5680">
            <w:pPr>
              <w:pStyle w:val="Web"/>
              <w:numPr>
                <w:ilvl w:val="0"/>
                <w:numId w:val="11"/>
              </w:numPr>
              <w:spacing w:before="0" w:beforeAutospacing="0" w:after="0" w:afterAutospacing="0"/>
              <w:ind w:left="587" w:hanging="425"/>
              <w:jc w:val="both"/>
              <w:rPr>
                <w:rFonts w:ascii="Arial" w:eastAsia="標楷體" w:hAnsi="Arial" w:cs="Arial"/>
              </w:rPr>
            </w:pPr>
            <w:r w:rsidRPr="002E1AD7">
              <w:rPr>
                <w:rFonts w:ascii="Arial" w:eastAsia="標楷體" w:hAnsi="Arial" w:cs="Arial"/>
              </w:rPr>
              <w:t>若有任何疑問請諮詢醫療人員，切勿於諮詢醫療人員前自行暫停或改變治療糖尿病的藥物。若未治療糖尿病，可能導致嚴重的問題，包括：失明、神經及腎臟損傷與心臟疾病。</w:t>
            </w:r>
          </w:p>
        </w:tc>
      </w:tr>
      <w:tr w:rsidR="002E1AD7" w:rsidRPr="002E1AD7" w:rsidTr="002B5680">
        <w:trPr>
          <w:trHeight w:val="2393"/>
          <w:jc w:val="center"/>
        </w:trPr>
        <w:tc>
          <w:tcPr>
            <w:tcW w:w="2268" w:type="dxa"/>
            <w:vAlign w:val="center"/>
          </w:tcPr>
          <w:p w:rsidR="00094F6B" w:rsidRPr="002E1AD7" w:rsidRDefault="00094F6B" w:rsidP="002E1AD7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7994" w:type="dxa"/>
          </w:tcPr>
          <w:p w:rsidR="00094F6B" w:rsidRPr="002E1AD7" w:rsidRDefault="00094F6B" w:rsidP="006D0CB5">
            <w:pPr>
              <w:spacing w:beforeLines="50" w:before="180"/>
              <w:ind w:left="444" w:hangingChars="185" w:hanging="444"/>
              <w:jc w:val="both"/>
              <w:rPr>
                <w:rFonts w:ascii="Arial" w:eastAsia="標楷體" w:hAnsi="Arial" w:cs="Arial"/>
                <w:szCs w:val="24"/>
              </w:rPr>
            </w:pPr>
            <w:r w:rsidRPr="002E1AD7">
              <w:rPr>
                <w:rFonts w:ascii="細明體" w:eastAsia="細明體" w:hAnsi="細明體" w:cs="細明體" w:hint="eastAsia"/>
                <w:szCs w:val="24"/>
              </w:rPr>
              <w:t>◎</w:t>
            </w:r>
            <w:r w:rsidRPr="002E1AD7">
              <w:rPr>
                <w:rFonts w:ascii="Arial" w:eastAsia="標楷體" w:hAnsi="Arial" w:cs="Arial"/>
                <w:szCs w:val="24"/>
              </w:rPr>
              <w:t xml:space="preserve"> </w:t>
            </w:r>
            <w:r w:rsidR="005A3A80" w:rsidRPr="002E1AD7">
              <w:rPr>
                <w:rFonts w:ascii="Arial" w:eastAsia="標楷體" w:hAnsi="Arial" w:cs="Arial"/>
                <w:szCs w:val="24"/>
              </w:rPr>
              <w:t xml:space="preserve"> </w:t>
            </w:r>
            <w:r w:rsidRPr="002E1AD7">
              <w:rPr>
                <w:rFonts w:ascii="Arial" w:eastAsia="標楷體" w:hAnsi="Arial" w:cs="Arial"/>
                <w:szCs w:val="24"/>
              </w:rPr>
              <w:t>醫療人員或病人懷疑因為使用（服用）藥品導致不良反應發生時，請立即通報給衛生</w:t>
            </w:r>
            <w:proofErr w:type="gramStart"/>
            <w:r w:rsidRPr="002E1AD7">
              <w:rPr>
                <w:rFonts w:ascii="Arial" w:eastAsia="標楷體" w:hAnsi="Arial" w:cs="Arial"/>
                <w:szCs w:val="24"/>
              </w:rPr>
              <w:t>福利部所建置</w:t>
            </w:r>
            <w:proofErr w:type="gramEnd"/>
            <w:r w:rsidRPr="002E1AD7">
              <w:rPr>
                <w:rFonts w:ascii="Arial" w:eastAsia="標楷體" w:hAnsi="Arial" w:cs="Arial"/>
                <w:szCs w:val="24"/>
              </w:rPr>
              <w:t>之全國藥物不良反應通報中心並副知所屬廠商，藥物不良反應通報專線</w:t>
            </w:r>
            <w:r w:rsidRPr="002E1AD7">
              <w:rPr>
                <w:rFonts w:ascii="Arial" w:eastAsia="標楷體" w:hAnsi="Arial" w:cs="Arial"/>
                <w:szCs w:val="24"/>
              </w:rPr>
              <w:t>02-2396-0100</w:t>
            </w:r>
            <w:r w:rsidRPr="002E1AD7">
              <w:rPr>
                <w:rFonts w:ascii="Arial" w:eastAsia="標楷體" w:hAnsi="Arial" w:cs="Arial"/>
                <w:szCs w:val="24"/>
              </w:rPr>
              <w:t>，網站：</w:t>
            </w:r>
            <w:hyperlink r:id="rId10" w:history="1">
              <w:r w:rsidRPr="002E1AD7">
                <w:rPr>
                  <w:rStyle w:val="ab"/>
                  <w:rFonts w:ascii="Arial" w:eastAsia="標楷體" w:hAnsi="Arial" w:cs="Arial"/>
                  <w:color w:val="auto"/>
                  <w:szCs w:val="24"/>
                </w:rPr>
                <w:t>https://adr.fda.gov.tw</w:t>
              </w:r>
            </w:hyperlink>
            <w:r w:rsidRPr="002E1AD7">
              <w:rPr>
                <w:rFonts w:ascii="Arial" w:eastAsia="標楷體" w:hAnsi="Arial" w:cs="Arial"/>
                <w:szCs w:val="24"/>
              </w:rPr>
              <w:t>；衛生福利部食品藥物管理署獲知藥品安全訊息時，</w:t>
            </w:r>
            <w:proofErr w:type="gramStart"/>
            <w:r w:rsidRPr="002E1AD7">
              <w:rPr>
                <w:rFonts w:ascii="Arial" w:eastAsia="標楷體" w:hAnsi="Arial" w:cs="Arial"/>
                <w:szCs w:val="24"/>
              </w:rPr>
              <w:t>均會蒐集</w:t>
            </w:r>
            <w:proofErr w:type="gramEnd"/>
            <w:r w:rsidRPr="002E1AD7">
              <w:rPr>
                <w:rFonts w:ascii="Arial" w:eastAsia="標楷體" w:hAnsi="Arial" w:cs="Arial"/>
                <w:szCs w:val="24"/>
              </w:rPr>
              <w:t>彙整相關資料進行評估，並對於新增之藥品風險採取對應之風險管控措施。</w:t>
            </w:r>
          </w:p>
        </w:tc>
      </w:tr>
    </w:tbl>
    <w:p w:rsidR="00211E09" w:rsidRPr="003B56BC" w:rsidRDefault="00211E09"/>
    <w:sectPr w:rsidR="00211E09" w:rsidRPr="003B56BC" w:rsidSect="002B5680">
      <w:pgSz w:w="11906" w:h="16838"/>
      <w:pgMar w:top="567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DC" w:rsidRDefault="00E226DC" w:rsidP="003B56BC">
      <w:r>
        <w:separator/>
      </w:r>
    </w:p>
  </w:endnote>
  <w:endnote w:type="continuationSeparator" w:id="0">
    <w:p w:rsidR="00E226DC" w:rsidRDefault="00E226DC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DC" w:rsidRDefault="00E226DC" w:rsidP="003B56BC">
      <w:r>
        <w:separator/>
      </w:r>
    </w:p>
  </w:footnote>
  <w:footnote w:type="continuationSeparator" w:id="0">
    <w:p w:rsidR="00E226DC" w:rsidRDefault="00E226DC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665"/>
    <w:multiLevelType w:val="hybridMultilevel"/>
    <w:tmpl w:val="F1701190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92D8E6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5ECE38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E62247"/>
    <w:multiLevelType w:val="hybridMultilevel"/>
    <w:tmpl w:val="CF28C23A"/>
    <w:lvl w:ilvl="0" w:tplc="0409000F">
      <w:start w:val="1"/>
      <w:numFmt w:val="decimal"/>
      <w:lvlText w:val="%1."/>
      <w:lvlJc w:val="left"/>
      <w:pPr>
        <w:ind w:left="826" w:hanging="480"/>
      </w:pPr>
    </w:lvl>
    <w:lvl w:ilvl="1" w:tplc="04090019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2">
    <w:nsid w:val="15994B92"/>
    <w:multiLevelType w:val="hybridMultilevel"/>
    <w:tmpl w:val="E8209FE0"/>
    <w:lvl w:ilvl="0" w:tplc="D9C0595C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6EE60962">
      <w:start w:val="1"/>
      <w:numFmt w:val="lowerRoman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D44B80"/>
    <w:multiLevelType w:val="hybridMultilevel"/>
    <w:tmpl w:val="659692EA"/>
    <w:lvl w:ilvl="0" w:tplc="990CDD5A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6EE60962">
      <w:start w:val="1"/>
      <w:numFmt w:val="lowerRoman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0F774D"/>
    <w:multiLevelType w:val="hybridMultilevel"/>
    <w:tmpl w:val="8728A45E"/>
    <w:lvl w:ilvl="0" w:tplc="7A962CDA">
      <w:start w:val="99"/>
      <w:numFmt w:val="bullet"/>
      <w:lvlText w:val="◎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61D7BDC"/>
    <w:multiLevelType w:val="hybridMultilevel"/>
    <w:tmpl w:val="C020FC8A"/>
    <w:lvl w:ilvl="0" w:tplc="92D8E60C">
      <w:start w:val="1"/>
      <w:numFmt w:val="decimal"/>
      <w:lvlText w:val="%1."/>
      <w:lvlJc w:val="left"/>
      <w:pPr>
        <w:ind w:left="826" w:hanging="480"/>
      </w:pPr>
      <w:rPr>
        <w:rFonts w:cs="Times New Roman"/>
      </w:rPr>
    </w:lvl>
    <w:lvl w:ilvl="1" w:tplc="6EE60962">
      <w:start w:val="1"/>
      <w:numFmt w:val="lowerRoman"/>
      <w:lvlText w:val="%2."/>
      <w:lvlJc w:val="left"/>
      <w:pPr>
        <w:ind w:left="130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6">
    <w:nsid w:val="589A639B"/>
    <w:multiLevelType w:val="hybridMultilevel"/>
    <w:tmpl w:val="CF28C23A"/>
    <w:lvl w:ilvl="0" w:tplc="0409000F">
      <w:start w:val="1"/>
      <w:numFmt w:val="decimal"/>
      <w:lvlText w:val="%1."/>
      <w:lvlJc w:val="left"/>
      <w:pPr>
        <w:ind w:left="826" w:hanging="480"/>
      </w:pPr>
    </w:lvl>
    <w:lvl w:ilvl="1" w:tplc="04090019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7">
    <w:nsid w:val="6AAB6370"/>
    <w:multiLevelType w:val="hybridMultilevel"/>
    <w:tmpl w:val="22BE2080"/>
    <w:lvl w:ilvl="0" w:tplc="D89EE736">
      <w:start w:val="1"/>
      <w:numFmt w:val="decimal"/>
      <w:lvlText w:val="%1."/>
      <w:lvlJc w:val="left"/>
      <w:pPr>
        <w:ind w:left="82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  <w:rPr>
        <w:rFonts w:cs="Times New Roman"/>
      </w:rPr>
    </w:lvl>
  </w:abstractNum>
  <w:abstractNum w:abstractNumId="8">
    <w:nsid w:val="73414A25"/>
    <w:multiLevelType w:val="hybridMultilevel"/>
    <w:tmpl w:val="2BFCE2AE"/>
    <w:lvl w:ilvl="0" w:tplc="30582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39B4BD5"/>
    <w:multiLevelType w:val="hybridMultilevel"/>
    <w:tmpl w:val="CF28C23A"/>
    <w:lvl w:ilvl="0" w:tplc="0409000F">
      <w:start w:val="1"/>
      <w:numFmt w:val="decimal"/>
      <w:lvlText w:val="%1."/>
      <w:lvlJc w:val="left"/>
      <w:pPr>
        <w:ind w:left="826" w:hanging="480"/>
      </w:pPr>
    </w:lvl>
    <w:lvl w:ilvl="1" w:tplc="04090019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07D6"/>
    <w:rsid w:val="0000533D"/>
    <w:rsid w:val="00007314"/>
    <w:rsid w:val="00011906"/>
    <w:rsid w:val="000125F7"/>
    <w:rsid w:val="00014990"/>
    <w:rsid w:val="00017171"/>
    <w:rsid w:val="00017AD6"/>
    <w:rsid w:val="00032A84"/>
    <w:rsid w:val="0003449A"/>
    <w:rsid w:val="0003455D"/>
    <w:rsid w:val="00035F42"/>
    <w:rsid w:val="00036AF5"/>
    <w:rsid w:val="000417A7"/>
    <w:rsid w:val="0004206A"/>
    <w:rsid w:val="0004625C"/>
    <w:rsid w:val="00051FB4"/>
    <w:rsid w:val="000531D7"/>
    <w:rsid w:val="00057BAD"/>
    <w:rsid w:val="00057FA3"/>
    <w:rsid w:val="0006115A"/>
    <w:rsid w:val="00063954"/>
    <w:rsid w:val="0006542C"/>
    <w:rsid w:val="00065D93"/>
    <w:rsid w:val="000705C6"/>
    <w:rsid w:val="000750FE"/>
    <w:rsid w:val="000841D6"/>
    <w:rsid w:val="00087192"/>
    <w:rsid w:val="00091695"/>
    <w:rsid w:val="00091CFE"/>
    <w:rsid w:val="000926E5"/>
    <w:rsid w:val="00093776"/>
    <w:rsid w:val="0009412B"/>
    <w:rsid w:val="000944B2"/>
    <w:rsid w:val="00094F6B"/>
    <w:rsid w:val="00095F4A"/>
    <w:rsid w:val="00096F70"/>
    <w:rsid w:val="00097928"/>
    <w:rsid w:val="000A1938"/>
    <w:rsid w:val="000A3C3D"/>
    <w:rsid w:val="000A3E05"/>
    <w:rsid w:val="000A4C28"/>
    <w:rsid w:val="000B7771"/>
    <w:rsid w:val="000C168C"/>
    <w:rsid w:val="000C5E6B"/>
    <w:rsid w:val="000C705F"/>
    <w:rsid w:val="000C72AC"/>
    <w:rsid w:val="000D56FD"/>
    <w:rsid w:val="000D5701"/>
    <w:rsid w:val="000D5C02"/>
    <w:rsid w:val="000D6EA5"/>
    <w:rsid w:val="000E26A1"/>
    <w:rsid w:val="000E44BD"/>
    <w:rsid w:val="000E6892"/>
    <w:rsid w:val="000E7A87"/>
    <w:rsid w:val="000F0895"/>
    <w:rsid w:val="000F2C36"/>
    <w:rsid w:val="000F381D"/>
    <w:rsid w:val="000F5BF9"/>
    <w:rsid w:val="001037C9"/>
    <w:rsid w:val="00104870"/>
    <w:rsid w:val="001049E0"/>
    <w:rsid w:val="00105264"/>
    <w:rsid w:val="00105D48"/>
    <w:rsid w:val="001105BA"/>
    <w:rsid w:val="001134EE"/>
    <w:rsid w:val="0011359D"/>
    <w:rsid w:val="001164B5"/>
    <w:rsid w:val="00117D49"/>
    <w:rsid w:val="0012132F"/>
    <w:rsid w:val="0013078F"/>
    <w:rsid w:val="00132D97"/>
    <w:rsid w:val="00133461"/>
    <w:rsid w:val="001352B5"/>
    <w:rsid w:val="00136184"/>
    <w:rsid w:val="001365D2"/>
    <w:rsid w:val="00140034"/>
    <w:rsid w:val="001409C3"/>
    <w:rsid w:val="001445BC"/>
    <w:rsid w:val="00145A9D"/>
    <w:rsid w:val="00150360"/>
    <w:rsid w:val="00151CE0"/>
    <w:rsid w:val="00153858"/>
    <w:rsid w:val="00154725"/>
    <w:rsid w:val="0015566D"/>
    <w:rsid w:val="00157367"/>
    <w:rsid w:val="0015736A"/>
    <w:rsid w:val="001573A0"/>
    <w:rsid w:val="00161DFA"/>
    <w:rsid w:val="001621B1"/>
    <w:rsid w:val="00162D57"/>
    <w:rsid w:val="00165E7F"/>
    <w:rsid w:val="00167294"/>
    <w:rsid w:val="001712B3"/>
    <w:rsid w:val="00172779"/>
    <w:rsid w:val="00172C22"/>
    <w:rsid w:val="001735F9"/>
    <w:rsid w:val="001838E5"/>
    <w:rsid w:val="001842A5"/>
    <w:rsid w:val="00186FAA"/>
    <w:rsid w:val="00187477"/>
    <w:rsid w:val="001938C0"/>
    <w:rsid w:val="001979BC"/>
    <w:rsid w:val="001A3CD6"/>
    <w:rsid w:val="001A4D14"/>
    <w:rsid w:val="001A62F6"/>
    <w:rsid w:val="001B0AB6"/>
    <w:rsid w:val="001B19B5"/>
    <w:rsid w:val="001B2908"/>
    <w:rsid w:val="001B36F2"/>
    <w:rsid w:val="001B5163"/>
    <w:rsid w:val="001B630E"/>
    <w:rsid w:val="001C360A"/>
    <w:rsid w:val="001C5A1B"/>
    <w:rsid w:val="001D43BC"/>
    <w:rsid w:val="001D5A9C"/>
    <w:rsid w:val="001D5D19"/>
    <w:rsid w:val="001D683C"/>
    <w:rsid w:val="001D684A"/>
    <w:rsid w:val="001D6C93"/>
    <w:rsid w:val="001D789A"/>
    <w:rsid w:val="001E1874"/>
    <w:rsid w:val="001E1F05"/>
    <w:rsid w:val="001E4113"/>
    <w:rsid w:val="001E4D43"/>
    <w:rsid w:val="001E6F73"/>
    <w:rsid w:val="001E6F88"/>
    <w:rsid w:val="001F1218"/>
    <w:rsid w:val="001F2486"/>
    <w:rsid w:val="001F7035"/>
    <w:rsid w:val="001F7358"/>
    <w:rsid w:val="00200D95"/>
    <w:rsid w:val="00203113"/>
    <w:rsid w:val="00211E09"/>
    <w:rsid w:val="002122E7"/>
    <w:rsid w:val="0021575E"/>
    <w:rsid w:val="00215F9D"/>
    <w:rsid w:val="00217579"/>
    <w:rsid w:val="002212A6"/>
    <w:rsid w:val="00222020"/>
    <w:rsid w:val="00224B71"/>
    <w:rsid w:val="00224D3C"/>
    <w:rsid w:val="00224F29"/>
    <w:rsid w:val="00225A8B"/>
    <w:rsid w:val="00230DC3"/>
    <w:rsid w:val="00233457"/>
    <w:rsid w:val="00233E51"/>
    <w:rsid w:val="00235F72"/>
    <w:rsid w:val="00240B54"/>
    <w:rsid w:val="00241556"/>
    <w:rsid w:val="002420D6"/>
    <w:rsid w:val="00246966"/>
    <w:rsid w:val="002501BB"/>
    <w:rsid w:val="0025164B"/>
    <w:rsid w:val="00252DD4"/>
    <w:rsid w:val="00253916"/>
    <w:rsid w:val="002552ED"/>
    <w:rsid w:val="002647F8"/>
    <w:rsid w:val="00264F16"/>
    <w:rsid w:val="00265388"/>
    <w:rsid w:val="00265786"/>
    <w:rsid w:val="002670EB"/>
    <w:rsid w:val="00270E2E"/>
    <w:rsid w:val="0027104D"/>
    <w:rsid w:val="0027252E"/>
    <w:rsid w:val="00272CA2"/>
    <w:rsid w:val="0027402D"/>
    <w:rsid w:val="0027776F"/>
    <w:rsid w:val="002806CF"/>
    <w:rsid w:val="0028110C"/>
    <w:rsid w:val="002853C3"/>
    <w:rsid w:val="00285934"/>
    <w:rsid w:val="002A0D15"/>
    <w:rsid w:val="002A2CDB"/>
    <w:rsid w:val="002A3A80"/>
    <w:rsid w:val="002A3E0E"/>
    <w:rsid w:val="002A3FC2"/>
    <w:rsid w:val="002A4084"/>
    <w:rsid w:val="002B0394"/>
    <w:rsid w:val="002B3148"/>
    <w:rsid w:val="002B5680"/>
    <w:rsid w:val="002C0F1D"/>
    <w:rsid w:val="002C5626"/>
    <w:rsid w:val="002C7C0E"/>
    <w:rsid w:val="002D28A6"/>
    <w:rsid w:val="002D2DE8"/>
    <w:rsid w:val="002D3FC9"/>
    <w:rsid w:val="002D6EA2"/>
    <w:rsid w:val="002E1AD7"/>
    <w:rsid w:val="002E4D70"/>
    <w:rsid w:val="002F036F"/>
    <w:rsid w:val="002F0B40"/>
    <w:rsid w:val="002F0B94"/>
    <w:rsid w:val="002F4507"/>
    <w:rsid w:val="0030181F"/>
    <w:rsid w:val="00302511"/>
    <w:rsid w:val="003025BF"/>
    <w:rsid w:val="00303922"/>
    <w:rsid w:val="00304931"/>
    <w:rsid w:val="00306E81"/>
    <w:rsid w:val="00307F98"/>
    <w:rsid w:val="00313163"/>
    <w:rsid w:val="003209F3"/>
    <w:rsid w:val="003269B3"/>
    <w:rsid w:val="003329B3"/>
    <w:rsid w:val="00336369"/>
    <w:rsid w:val="00337644"/>
    <w:rsid w:val="0034212D"/>
    <w:rsid w:val="00344761"/>
    <w:rsid w:val="00344FEF"/>
    <w:rsid w:val="00346490"/>
    <w:rsid w:val="00355C61"/>
    <w:rsid w:val="003577D0"/>
    <w:rsid w:val="00357EF8"/>
    <w:rsid w:val="00364D13"/>
    <w:rsid w:val="003708D0"/>
    <w:rsid w:val="00370EB4"/>
    <w:rsid w:val="003711B9"/>
    <w:rsid w:val="00380E14"/>
    <w:rsid w:val="003816DB"/>
    <w:rsid w:val="00382B52"/>
    <w:rsid w:val="00382E7A"/>
    <w:rsid w:val="003850C5"/>
    <w:rsid w:val="00387C17"/>
    <w:rsid w:val="003903F4"/>
    <w:rsid w:val="00390772"/>
    <w:rsid w:val="00391418"/>
    <w:rsid w:val="00394DA5"/>
    <w:rsid w:val="00397586"/>
    <w:rsid w:val="003A2A24"/>
    <w:rsid w:val="003A30BE"/>
    <w:rsid w:val="003A5B26"/>
    <w:rsid w:val="003A654F"/>
    <w:rsid w:val="003A66CF"/>
    <w:rsid w:val="003B09F6"/>
    <w:rsid w:val="003B36A0"/>
    <w:rsid w:val="003B48D2"/>
    <w:rsid w:val="003B53BF"/>
    <w:rsid w:val="003B56BC"/>
    <w:rsid w:val="003C06EB"/>
    <w:rsid w:val="003C0E64"/>
    <w:rsid w:val="003C54B8"/>
    <w:rsid w:val="003D24E6"/>
    <w:rsid w:val="003D5187"/>
    <w:rsid w:val="003D56ED"/>
    <w:rsid w:val="003D7C9A"/>
    <w:rsid w:val="003E054A"/>
    <w:rsid w:val="003E280C"/>
    <w:rsid w:val="003E2B3B"/>
    <w:rsid w:val="003E3F6A"/>
    <w:rsid w:val="003E558F"/>
    <w:rsid w:val="003E648E"/>
    <w:rsid w:val="003F3F3C"/>
    <w:rsid w:val="003F5161"/>
    <w:rsid w:val="00400BCB"/>
    <w:rsid w:val="00401BF5"/>
    <w:rsid w:val="00404DEE"/>
    <w:rsid w:val="00406A01"/>
    <w:rsid w:val="00410160"/>
    <w:rsid w:val="00412970"/>
    <w:rsid w:val="00416206"/>
    <w:rsid w:val="00417455"/>
    <w:rsid w:val="00424364"/>
    <w:rsid w:val="00424590"/>
    <w:rsid w:val="00424A9E"/>
    <w:rsid w:val="0042553C"/>
    <w:rsid w:val="0043191F"/>
    <w:rsid w:val="00431A54"/>
    <w:rsid w:val="00431E8B"/>
    <w:rsid w:val="00433672"/>
    <w:rsid w:val="00435CFA"/>
    <w:rsid w:val="00437BEF"/>
    <w:rsid w:val="0044111C"/>
    <w:rsid w:val="00442988"/>
    <w:rsid w:val="004430A7"/>
    <w:rsid w:val="00443436"/>
    <w:rsid w:val="004518A5"/>
    <w:rsid w:val="004524B0"/>
    <w:rsid w:val="004559E9"/>
    <w:rsid w:val="00463BC6"/>
    <w:rsid w:val="004669F4"/>
    <w:rsid w:val="00466ED1"/>
    <w:rsid w:val="00470B91"/>
    <w:rsid w:val="0047128D"/>
    <w:rsid w:val="0048216C"/>
    <w:rsid w:val="004855A8"/>
    <w:rsid w:val="0048634C"/>
    <w:rsid w:val="00486C01"/>
    <w:rsid w:val="00491E85"/>
    <w:rsid w:val="0049296B"/>
    <w:rsid w:val="00494350"/>
    <w:rsid w:val="004948DF"/>
    <w:rsid w:val="00494B0B"/>
    <w:rsid w:val="004956BA"/>
    <w:rsid w:val="00497C21"/>
    <w:rsid w:val="004A1947"/>
    <w:rsid w:val="004A2826"/>
    <w:rsid w:val="004A2E20"/>
    <w:rsid w:val="004A4059"/>
    <w:rsid w:val="004A6B50"/>
    <w:rsid w:val="004B16FC"/>
    <w:rsid w:val="004B1894"/>
    <w:rsid w:val="004B4590"/>
    <w:rsid w:val="004B470A"/>
    <w:rsid w:val="004B490F"/>
    <w:rsid w:val="004B5265"/>
    <w:rsid w:val="004B673A"/>
    <w:rsid w:val="004C036F"/>
    <w:rsid w:val="004C39CD"/>
    <w:rsid w:val="004C42B9"/>
    <w:rsid w:val="004C643C"/>
    <w:rsid w:val="004D02EB"/>
    <w:rsid w:val="004D3952"/>
    <w:rsid w:val="004E0ED4"/>
    <w:rsid w:val="004E45A4"/>
    <w:rsid w:val="004E50EE"/>
    <w:rsid w:val="004E5C9D"/>
    <w:rsid w:val="004F253D"/>
    <w:rsid w:val="004F2FA5"/>
    <w:rsid w:val="004F39CC"/>
    <w:rsid w:val="00500620"/>
    <w:rsid w:val="005022C4"/>
    <w:rsid w:val="00505496"/>
    <w:rsid w:val="005065C7"/>
    <w:rsid w:val="00512FC8"/>
    <w:rsid w:val="00513748"/>
    <w:rsid w:val="00514D03"/>
    <w:rsid w:val="00515A0A"/>
    <w:rsid w:val="005239FF"/>
    <w:rsid w:val="00524A2E"/>
    <w:rsid w:val="00525106"/>
    <w:rsid w:val="00525D2E"/>
    <w:rsid w:val="005313F0"/>
    <w:rsid w:val="0053782D"/>
    <w:rsid w:val="00540651"/>
    <w:rsid w:val="00541C57"/>
    <w:rsid w:val="00542A08"/>
    <w:rsid w:val="0054364B"/>
    <w:rsid w:val="005441B0"/>
    <w:rsid w:val="00544659"/>
    <w:rsid w:val="00546578"/>
    <w:rsid w:val="0055218E"/>
    <w:rsid w:val="00563392"/>
    <w:rsid w:val="00567D81"/>
    <w:rsid w:val="00570194"/>
    <w:rsid w:val="00573145"/>
    <w:rsid w:val="00574989"/>
    <w:rsid w:val="0057706B"/>
    <w:rsid w:val="00580176"/>
    <w:rsid w:val="00580DAA"/>
    <w:rsid w:val="00583A2D"/>
    <w:rsid w:val="00586DFF"/>
    <w:rsid w:val="00586F62"/>
    <w:rsid w:val="005879D3"/>
    <w:rsid w:val="00590BF6"/>
    <w:rsid w:val="0059111D"/>
    <w:rsid w:val="00594DDE"/>
    <w:rsid w:val="005A304F"/>
    <w:rsid w:val="005A3A80"/>
    <w:rsid w:val="005A7988"/>
    <w:rsid w:val="005B3D39"/>
    <w:rsid w:val="005C1444"/>
    <w:rsid w:val="005C19D4"/>
    <w:rsid w:val="005C4D41"/>
    <w:rsid w:val="005C53AB"/>
    <w:rsid w:val="005D0116"/>
    <w:rsid w:val="005D2C92"/>
    <w:rsid w:val="005D4DD0"/>
    <w:rsid w:val="005E3BF1"/>
    <w:rsid w:val="005E42BA"/>
    <w:rsid w:val="005E5D6A"/>
    <w:rsid w:val="005F1B0B"/>
    <w:rsid w:val="005F4D31"/>
    <w:rsid w:val="005F6D8A"/>
    <w:rsid w:val="00611441"/>
    <w:rsid w:val="006114A5"/>
    <w:rsid w:val="00620902"/>
    <w:rsid w:val="00621754"/>
    <w:rsid w:val="0062545A"/>
    <w:rsid w:val="00626CE5"/>
    <w:rsid w:val="00630774"/>
    <w:rsid w:val="00631223"/>
    <w:rsid w:val="00631BCC"/>
    <w:rsid w:val="00632FF0"/>
    <w:rsid w:val="00635962"/>
    <w:rsid w:val="00635D82"/>
    <w:rsid w:val="0064071A"/>
    <w:rsid w:val="006420D0"/>
    <w:rsid w:val="006443FA"/>
    <w:rsid w:val="00644664"/>
    <w:rsid w:val="006448FD"/>
    <w:rsid w:val="006457C5"/>
    <w:rsid w:val="006462E7"/>
    <w:rsid w:val="00646ACD"/>
    <w:rsid w:val="00647540"/>
    <w:rsid w:val="00650041"/>
    <w:rsid w:val="0065031E"/>
    <w:rsid w:val="00650AB2"/>
    <w:rsid w:val="00652B88"/>
    <w:rsid w:val="0065314B"/>
    <w:rsid w:val="00654112"/>
    <w:rsid w:val="00661481"/>
    <w:rsid w:val="006664F5"/>
    <w:rsid w:val="006666F7"/>
    <w:rsid w:val="00666EEC"/>
    <w:rsid w:val="00670780"/>
    <w:rsid w:val="006713DF"/>
    <w:rsid w:val="006740A7"/>
    <w:rsid w:val="006777C3"/>
    <w:rsid w:val="00687454"/>
    <w:rsid w:val="0069120A"/>
    <w:rsid w:val="00692878"/>
    <w:rsid w:val="00692E10"/>
    <w:rsid w:val="00694E2F"/>
    <w:rsid w:val="00696359"/>
    <w:rsid w:val="00697FF3"/>
    <w:rsid w:val="006A0C3E"/>
    <w:rsid w:val="006A0E32"/>
    <w:rsid w:val="006A0F9C"/>
    <w:rsid w:val="006A2CB5"/>
    <w:rsid w:val="006A58A3"/>
    <w:rsid w:val="006A71AD"/>
    <w:rsid w:val="006B2E8F"/>
    <w:rsid w:val="006B3C0C"/>
    <w:rsid w:val="006C1F4B"/>
    <w:rsid w:val="006C234F"/>
    <w:rsid w:val="006C45B7"/>
    <w:rsid w:val="006C47BE"/>
    <w:rsid w:val="006D0CB5"/>
    <w:rsid w:val="006D3731"/>
    <w:rsid w:val="006D4051"/>
    <w:rsid w:val="006E06D5"/>
    <w:rsid w:val="006E3EFC"/>
    <w:rsid w:val="006E572E"/>
    <w:rsid w:val="006F3C80"/>
    <w:rsid w:val="00701C28"/>
    <w:rsid w:val="00701E62"/>
    <w:rsid w:val="0070229A"/>
    <w:rsid w:val="00703733"/>
    <w:rsid w:val="007053A8"/>
    <w:rsid w:val="00705769"/>
    <w:rsid w:val="007058CA"/>
    <w:rsid w:val="00711D0C"/>
    <w:rsid w:val="007126F3"/>
    <w:rsid w:val="007144AA"/>
    <w:rsid w:val="00716EF9"/>
    <w:rsid w:val="007234B7"/>
    <w:rsid w:val="00724B56"/>
    <w:rsid w:val="00727885"/>
    <w:rsid w:val="00734289"/>
    <w:rsid w:val="00734832"/>
    <w:rsid w:val="00736316"/>
    <w:rsid w:val="00737E01"/>
    <w:rsid w:val="007401A4"/>
    <w:rsid w:val="00742964"/>
    <w:rsid w:val="00742988"/>
    <w:rsid w:val="00747215"/>
    <w:rsid w:val="00747CC6"/>
    <w:rsid w:val="00747DDB"/>
    <w:rsid w:val="00757000"/>
    <w:rsid w:val="007610C5"/>
    <w:rsid w:val="007710FE"/>
    <w:rsid w:val="00774C09"/>
    <w:rsid w:val="007765B3"/>
    <w:rsid w:val="0077765F"/>
    <w:rsid w:val="00783A86"/>
    <w:rsid w:val="007868F7"/>
    <w:rsid w:val="00790EA3"/>
    <w:rsid w:val="00793034"/>
    <w:rsid w:val="007936B5"/>
    <w:rsid w:val="00795627"/>
    <w:rsid w:val="00795BF3"/>
    <w:rsid w:val="00796BA1"/>
    <w:rsid w:val="007A31C2"/>
    <w:rsid w:val="007A357E"/>
    <w:rsid w:val="007A358C"/>
    <w:rsid w:val="007A4CAF"/>
    <w:rsid w:val="007A770F"/>
    <w:rsid w:val="007B03CA"/>
    <w:rsid w:val="007B1E92"/>
    <w:rsid w:val="007B1ED5"/>
    <w:rsid w:val="007B6BE9"/>
    <w:rsid w:val="007B7240"/>
    <w:rsid w:val="007B79BB"/>
    <w:rsid w:val="007C1262"/>
    <w:rsid w:val="007C418C"/>
    <w:rsid w:val="007C6216"/>
    <w:rsid w:val="007D1DF8"/>
    <w:rsid w:val="007D2584"/>
    <w:rsid w:val="007D4817"/>
    <w:rsid w:val="007D48EB"/>
    <w:rsid w:val="007D4D96"/>
    <w:rsid w:val="007D5B39"/>
    <w:rsid w:val="007D60CE"/>
    <w:rsid w:val="007D7285"/>
    <w:rsid w:val="007D7314"/>
    <w:rsid w:val="007E0CF5"/>
    <w:rsid w:val="007E1968"/>
    <w:rsid w:val="007E367A"/>
    <w:rsid w:val="007F0CDB"/>
    <w:rsid w:val="007F18FF"/>
    <w:rsid w:val="007F2D5A"/>
    <w:rsid w:val="007F5133"/>
    <w:rsid w:val="007F5278"/>
    <w:rsid w:val="007F6B69"/>
    <w:rsid w:val="00802B67"/>
    <w:rsid w:val="00805E15"/>
    <w:rsid w:val="0081007B"/>
    <w:rsid w:val="008121FB"/>
    <w:rsid w:val="00812A01"/>
    <w:rsid w:val="00814A22"/>
    <w:rsid w:val="00817476"/>
    <w:rsid w:val="00817BD8"/>
    <w:rsid w:val="00820177"/>
    <w:rsid w:val="00820613"/>
    <w:rsid w:val="00822576"/>
    <w:rsid w:val="008279C2"/>
    <w:rsid w:val="0083095D"/>
    <w:rsid w:val="00831E91"/>
    <w:rsid w:val="0083376D"/>
    <w:rsid w:val="00837B60"/>
    <w:rsid w:val="00843B2C"/>
    <w:rsid w:val="00845A9E"/>
    <w:rsid w:val="0084741A"/>
    <w:rsid w:val="008506F1"/>
    <w:rsid w:val="008530B8"/>
    <w:rsid w:val="0086058B"/>
    <w:rsid w:val="00870E41"/>
    <w:rsid w:val="00871C9F"/>
    <w:rsid w:val="008750C6"/>
    <w:rsid w:val="00875911"/>
    <w:rsid w:val="0088024A"/>
    <w:rsid w:val="008833BC"/>
    <w:rsid w:val="00893D5C"/>
    <w:rsid w:val="008967C1"/>
    <w:rsid w:val="008B03BD"/>
    <w:rsid w:val="008B212E"/>
    <w:rsid w:val="008B23E1"/>
    <w:rsid w:val="008C2B4E"/>
    <w:rsid w:val="008C3D1E"/>
    <w:rsid w:val="008D085F"/>
    <w:rsid w:val="008E4B76"/>
    <w:rsid w:val="008F7A97"/>
    <w:rsid w:val="008F7FAA"/>
    <w:rsid w:val="00900DF0"/>
    <w:rsid w:val="00900FEE"/>
    <w:rsid w:val="00901209"/>
    <w:rsid w:val="00901804"/>
    <w:rsid w:val="00901B6C"/>
    <w:rsid w:val="00906275"/>
    <w:rsid w:val="009071F8"/>
    <w:rsid w:val="009074CA"/>
    <w:rsid w:val="00907F22"/>
    <w:rsid w:val="00913170"/>
    <w:rsid w:val="00913500"/>
    <w:rsid w:val="00913E22"/>
    <w:rsid w:val="009177B5"/>
    <w:rsid w:val="00917971"/>
    <w:rsid w:val="009262D9"/>
    <w:rsid w:val="00931790"/>
    <w:rsid w:val="0093272F"/>
    <w:rsid w:val="00932B3C"/>
    <w:rsid w:val="0093347A"/>
    <w:rsid w:val="00940CD3"/>
    <w:rsid w:val="0094100B"/>
    <w:rsid w:val="009424B6"/>
    <w:rsid w:val="00943722"/>
    <w:rsid w:val="009509CA"/>
    <w:rsid w:val="00953949"/>
    <w:rsid w:val="00954256"/>
    <w:rsid w:val="009559DE"/>
    <w:rsid w:val="00960C09"/>
    <w:rsid w:val="00961207"/>
    <w:rsid w:val="00963793"/>
    <w:rsid w:val="009645D4"/>
    <w:rsid w:val="00967C4B"/>
    <w:rsid w:val="00971292"/>
    <w:rsid w:val="0097283E"/>
    <w:rsid w:val="00972E63"/>
    <w:rsid w:val="009748E2"/>
    <w:rsid w:val="00975A84"/>
    <w:rsid w:val="00977234"/>
    <w:rsid w:val="00977EFC"/>
    <w:rsid w:val="00983D0B"/>
    <w:rsid w:val="009868C4"/>
    <w:rsid w:val="0098745E"/>
    <w:rsid w:val="009879B8"/>
    <w:rsid w:val="009945E2"/>
    <w:rsid w:val="00996A79"/>
    <w:rsid w:val="009971D9"/>
    <w:rsid w:val="009A0E2C"/>
    <w:rsid w:val="009A259C"/>
    <w:rsid w:val="009A332B"/>
    <w:rsid w:val="009A4704"/>
    <w:rsid w:val="009A7741"/>
    <w:rsid w:val="009B1BBF"/>
    <w:rsid w:val="009B4394"/>
    <w:rsid w:val="009B492B"/>
    <w:rsid w:val="009B4A66"/>
    <w:rsid w:val="009B586D"/>
    <w:rsid w:val="009C23A4"/>
    <w:rsid w:val="009C2943"/>
    <w:rsid w:val="009C2F82"/>
    <w:rsid w:val="009C6DE0"/>
    <w:rsid w:val="009C71CB"/>
    <w:rsid w:val="009C7BC7"/>
    <w:rsid w:val="009D0781"/>
    <w:rsid w:val="009D0C74"/>
    <w:rsid w:val="009D32FD"/>
    <w:rsid w:val="009D556C"/>
    <w:rsid w:val="009D64AD"/>
    <w:rsid w:val="009F00C4"/>
    <w:rsid w:val="009F0BA6"/>
    <w:rsid w:val="009F1ABC"/>
    <w:rsid w:val="009F355C"/>
    <w:rsid w:val="009F3E71"/>
    <w:rsid w:val="009F7A0A"/>
    <w:rsid w:val="00A01111"/>
    <w:rsid w:val="00A01145"/>
    <w:rsid w:val="00A01F60"/>
    <w:rsid w:val="00A04AD9"/>
    <w:rsid w:val="00A0525C"/>
    <w:rsid w:val="00A1597B"/>
    <w:rsid w:val="00A16E4F"/>
    <w:rsid w:val="00A16FF2"/>
    <w:rsid w:val="00A1749B"/>
    <w:rsid w:val="00A17684"/>
    <w:rsid w:val="00A17CDC"/>
    <w:rsid w:val="00A228A3"/>
    <w:rsid w:val="00A22F93"/>
    <w:rsid w:val="00A2513F"/>
    <w:rsid w:val="00A27030"/>
    <w:rsid w:val="00A30C4F"/>
    <w:rsid w:val="00A33080"/>
    <w:rsid w:val="00A343ED"/>
    <w:rsid w:val="00A376EB"/>
    <w:rsid w:val="00A438D1"/>
    <w:rsid w:val="00A43DE1"/>
    <w:rsid w:val="00A47CA1"/>
    <w:rsid w:val="00A50F79"/>
    <w:rsid w:val="00A51DC0"/>
    <w:rsid w:val="00A608A0"/>
    <w:rsid w:val="00A60A53"/>
    <w:rsid w:val="00A617E1"/>
    <w:rsid w:val="00A61AF4"/>
    <w:rsid w:val="00A632BA"/>
    <w:rsid w:val="00A63881"/>
    <w:rsid w:val="00A64165"/>
    <w:rsid w:val="00A67CB1"/>
    <w:rsid w:val="00A70A16"/>
    <w:rsid w:val="00A72E5B"/>
    <w:rsid w:val="00A7499E"/>
    <w:rsid w:val="00A757DB"/>
    <w:rsid w:val="00A7606F"/>
    <w:rsid w:val="00A76290"/>
    <w:rsid w:val="00A810C4"/>
    <w:rsid w:val="00A84D58"/>
    <w:rsid w:val="00A854A8"/>
    <w:rsid w:val="00A87DCF"/>
    <w:rsid w:val="00A92176"/>
    <w:rsid w:val="00A948FB"/>
    <w:rsid w:val="00AA419B"/>
    <w:rsid w:val="00AA4C8D"/>
    <w:rsid w:val="00AA798F"/>
    <w:rsid w:val="00AB378A"/>
    <w:rsid w:val="00AB5298"/>
    <w:rsid w:val="00AC0402"/>
    <w:rsid w:val="00AC129D"/>
    <w:rsid w:val="00AC679D"/>
    <w:rsid w:val="00AC6CDC"/>
    <w:rsid w:val="00AC70B9"/>
    <w:rsid w:val="00AC7407"/>
    <w:rsid w:val="00AD4CA2"/>
    <w:rsid w:val="00AD6ED4"/>
    <w:rsid w:val="00AE1098"/>
    <w:rsid w:val="00AE2304"/>
    <w:rsid w:val="00AE2D7B"/>
    <w:rsid w:val="00AE5FCB"/>
    <w:rsid w:val="00AF3E85"/>
    <w:rsid w:val="00AF576F"/>
    <w:rsid w:val="00AF611E"/>
    <w:rsid w:val="00B04015"/>
    <w:rsid w:val="00B11D15"/>
    <w:rsid w:val="00B14288"/>
    <w:rsid w:val="00B16052"/>
    <w:rsid w:val="00B205DE"/>
    <w:rsid w:val="00B20CB2"/>
    <w:rsid w:val="00B21BD1"/>
    <w:rsid w:val="00B23947"/>
    <w:rsid w:val="00B253A7"/>
    <w:rsid w:val="00B26316"/>
    <w:rsid w:val="00B32C39"/>
    <w:rsid w:val="00B36263"/>
    <w:rsid w:val="00B40E3E"/>
    <w:rsid w:val="00B41CFE"/>
    <w:rsid w:val="00B44478"/>
    <w:rsid w:val="00B44929"/>
    <w:rsid w:val="00B50EAB"/>
    <w:rsid w:val="00B515DE"/>
    <w:rsid w:val="00B54391"/>
    <w:rsid w:val="00B57AEE"/>
    <w:rsid w:val="00B62F13"/>
    <w:rsid w:val="00B64D74"/>
    <w:rsid w:val="00B65E84"/>
    <w:rsid w:val="00B65FF0"/>
    <w:rsid w:val="00B66303"/>
    <w:rsid w:val="00B70E1C"/>
    <w:rsid w:val="00B74E5C"/>
    <w:rsid w:val="00B77C8F"/>
    <w:rsid w:val="00B80624"/>
    <w:rsid w:val="00B8469B"/>
    <w:rsid w:val="00B9020D"/>
    <w:rsid w:val="00B90899"/>
    <w:rsid w:val="00B91FC0"/>
    <w:rsid w:val="00B92D8C"/>
    <w:rsid w:val="00B9319A"/>
    <w:rsid w:val="00B94ACE"/>
    <w:rsid w:val="00B97120"/>
    <w:rsid w:val="00BA6008"/>
    <w:rsid w:val="00BB1930"/>
    <w:rsid w:val="00BB23F4"/>
    <w:rsid w:val="00BB2A31"/>
    <w:rsid w:val="00BB4E04"/>
    <w:rsid w:val="00BB64DA"/>
    <w:rsid w:val="00BB77E5"/>
    <w:rsid w:val="00BC6F06"/>
    <w:rsid w:val="00BD07AE"/>
    <w:rsid w:val="00BE122C"/>
    <w:rsid w:val="00BE1374"/>
    <w:rsid w:val="00BE5D4D"/>
    <w:rsid w:val="00BE65D7"/>
    <w:rsid w:val="00BE7D96"/>
    <w:rsid w:val="00BF31DF"/>
    <w:rsid w:val="00C01DF0"/>
    <w:rsid w:val="00C058D5"/>
    <w:rsid w:val="00C06CEE"/>
    <w:rsid w:val="00C07109"/>
    <w:rsid w:val="00C0737A"/>
    <w:rsid w:val="00C109F4"/>
    <w:rsid w:val="00C1197C"/>
    <w:rsid w:val="00C125C0"/>
    <w:rsid w:val="00C1455D"/>
    <w:rsid w:val="00C14BC0"/>
    <w:rsid w:val="00C15BDF"/>
    <w:rsid w:val="00C16DFA"/>
    <w:rsid w:val="00C17A5B"/>
    <w:rsid w:val="00C2341B"/>
    <w:rsid w:val="00C246B9"/>
    <w:rsid w:val="00C24FAF"/>
    <w:rsid w:val="00C27459"/>
    <w:rsid w:val="00C32212"/>
    <w:rsid w:val="00C37794"/>
    <w:rsid w:val="00C430AB"/>
    <w:rsid w:val="00C443EF"/>
    <w:rsid w:val="00C4455D"/>
    <w:rsid w:val="00C45888"/>
    <w:rsid w:val="00C46FE1"/>
    <w:rsid w:val="00C4785F"/>
    <w:rsid w:val="00C56B68"/>
    <w:rsid w:val="00C61237"/>
    <w:rsid w:val="00C646BC"/>
    <w:rsid w:val="00C64E76"/>
    <w:rsid w:val="00C706C7"/>
    <w:rsid w:val="00C72E85"/>
    <w:rsid w:val="00C859E3"/>
    <w:rsid w:val="00C870E0"/>
    <w:rsid w:val="00C93D33"/>
    <w:rsid w:val="00C96599"/>
    <w:rsid w:val="00CA0F4A"/>
    <w:rsid w:val="00CA1255"/>
    <w:rsid w:val="00CA3983"/>
    <w:rsid w:val="00CA5FB5"/>
    <w:rsid w:val="00CA7073"/>
    <w:rsid w:val="00CB2324"/>
    <w:rsid w:val="00CB387C"/>
    <w:rsid w:val="00CB3D2E"/>
    <w:rsid w:val="00CB72D5"/>
    <w:rsid w:val="00CC5516"/>
    <w:rsid w:val="00CC5C05"/>
    <w:rsid w:val="00CC7298"/>
    <w:rsid w:val="00CD3091"/>
    <w:rsid w:val="00CD79D6"/>
    <w:rsid w:val="00CE1812"/>
    <w:rsid w:val="00CE6C8C"/>
    <w:rsid w:val="00CF1F5D"/>
    <w:rsid w:val="00CF3C0F"/>
    <w:rsid w:val="00CF4D14"/>
    <w:rsid w:val="00D036AF"/>
    <w:rsid w:val="00D120C9"/>
    <w:rsid w:val="00D15BB0"/>
    <w:rsid w:val="00D161FE"/>
    <w:rsid w:val="00D16650"/>
    <w:rsid w:val="00D1677B"/>
    <w:rsid w:val="00D1777A"/>
    <w:rsid w:val="00D17E49"/>
    <w:rsid w:val="00D211F6"/>
    <w:rsid w:val="00D262DB"/>
    <w:rsid w:val="00D31502"/>
    <w:rsid w:val="00D37245"/>
    <w:rsid w:val="00D41164"/>
    <w:rsid w:val="00D414D6"/>
    <w:rsid w:val="00D41DC5"/>
    <w:rsid w:val="00D43E77"/>
    <w:rsid w:val="00D455B4"/>
    <w:rsid w:val="00D47A6A"/>
    <w:rsid w:val="00D53DA8"/>
    <w:rsid w:val="00D55E01"/>
    <w:rsid w:val="00D57086"/>
    <w:rsid w:val="00D66A55"/>
    <w:rsid w:val="00D7135A"/>
    <w:rsid w:val="00D721A3"/>
    <w:rsid w:val="00D7317D"/>
    <w:rsid w:val="00D73AD7"/>
    <w:rsid w:val="00D751DC"/>
    <w:rsid w:val="00D77368"/>
    <w:rsid w:val="00D81E61"/>
    <w:rsid w:val="00D82323"/>
    <w:rsid w:val="00D83C68"/>
    <w:rsid w:val="00D863F2"/>
    <w:rsid w:val="00D91ABB"/>
    <w:rsid w:val="00D94CC1"/>
    <w:rsid w:val="00D950BB"/>
    <w:rsid w:val="00D96ABC"/>
    <w:rsid w:val="00D979CA"/>
    <w:rsid w:val="00DA60CB"/>
    <w:rsid w:val="00DA7D6B"/>
    <w:rsid w:val="00DB0099"/>
    <w:rsid w:val="00DC2F9A"/>
    <w:rsid w:val="00DC3FDB"/>
    <w:rsid w:val="00DC6B14"/>
    <w:rsid w:val="00DC6F37"/>
    <w:rsid w:val="00DD0BF4"/>
    <w:rsid w:val="00DD0F1F"/>
    <w:rsid w:val="00DD2680"/>
    <w:rsid w:val="00DD3578"/>
    <w:rsid w:val="00DD6424"/>
    <w:rsid w:val="00DE62E8"/>
    <w:rsid w:val="00DF659A"/>
    <w:rsid w:val="00DF71EA"/>
    <w:rsid w:val="00DF7820"/>
    <w:rsid w:val="00E0088E"/>
    <w:rsid w:val="00E00E2D"/>
    <w:rsid w:val="00E03233"/>
    <w:rsid w:val="00E033CE"/>
    <w:rsid w:val="00E03AE5"/>
    <w:rsid w:val="00E05A65"/>
    <w:rsid w:val="00E11226"/>
    <w:rsid w:val="00E117CE"/>
    <w:rsid w:val="00E15128"/>
    <w:rsid w:val="00E15B02"/>
    <w:rsid w:val="00E20EEA"/>
    <w:rsid w:val="00E21A89"/>
    <w:rsid w:val="00E21C75"/>
    <w:rsid w:val="00E226DC"/>
    <w:rsid w:val="00E23F4D"/>
    <w:rsid w:val="00E23FC2"/>
    <w:rsid w:val="00E34FA4"/>
    <w:rsid w:val="00E3531E"/>
    <w:rsid w:val="00E42211"/>
    <w:rsid w:val="00E43180"/>
    <w:rsid w:val="00E43DB1"/>
    <w:rsid w:val="00E47057"/>
    <w:rsid w:val="00E53CAC"/>
    <w:rsid w:val="00E6125D"/>
    <w:rsid w:val="00E6211C"/>
    <w:rsid w:val="00E62ECE"/>
    <w:rsid w:val="00E64C51"/>
    <w:rsid w:val="00E65DB7"/>
    <w:rsid w:val="00E66353"/>
    <w:rsid w:val="00E666DC"/>
    <w:rsid w:val="00E70B3C"/>
    <w:rsid w:val="00E71D1A"/>
    <w:rsid w:val="00E72A06"/>
    <w:rsid w:val="00E734AE"/>
    <w:rsid w:val="00E739AA"/>
    <w:rsid w:val="00E74E4C"/>
    <w:rsid w:val="00E777EA"/>
    <w:rsid w:val="00E810D9"/>
    <w:rsid w:val="00E83C1D"/>
    <w:rsid w:val="00E84ECE"/>
    <w:rsid w:val="00E855E2"/>
    <w:rsid w:val="00EA06DF"/>
    <w:rsid w:val="00EA39AB"/>
    <w:rsid w:val="00EA4C04"/>
    <w:rsid w:val="00EA589C"/>
    <w:rsid w:val="00EB21F7"/>
    <w:rsid w:val="00EB2CCD"/>
    <w:rsid w:val="00EB3E46"/>
    <w:rsid w:val="00EB5C9B"/>
    <w:rsid w:val="00EC5048"/>
    <w:rsid w:val="00EC701E"/>
    <w:rsid w:val="00ED0D55"/>
    <w:rsid w:val="00ED2574"/>
    <w:rsid w:val="00ED2D64"/>
    <w:rsid w:val="00ED2F93"/>
    <w:rsid w:val="00ED412A"/>
    <w:rsid w:val="00ED6CFF"/>
    <w:rsid w:val="00EE3CB2"/>
    <w:rsid w:val="00EE3D5A"/>
    <w:rsid w:val="00EE4232"/>
    <w:rsid w:val="00EF0BC7"/>
    <w:rsid w:val="00EF17EF"/>
    <w:rsid w:val="00EF3A78"/>
    <w:rsid w:val="00EF4F08"/>
    <w:rsid w:val="00EF5FC1"/>
    <w:rsid w:val="00EF61E1"/>
    <w:rsid w:val="00EF74F4"/>
    <w:rsid w:val="00F01E23"/>
    <w:rsid w:val="00F02005"/>
    <w:rsid w:val="00F02357"/>
    <w:rsid w:val="00F025B6"/>
    <w:rsid w:val="00F02F8D"/>
    <w:rsid w:val="00F03D45"/>
    <w:rsid w:val="00F07066"/>
    <w:rsid w:val="00F128FA"/>
    <w:rsid w:val="00F12DD3"/>
    <w:rsid w:val="00F16C9E"/>
    <w:rsid w:val="00F1772D"/>
    <w:rsid w:val="00F200AF"/>
    <w:rsid w:val="00F21086"/>
    <w:rsid w:val="00F2152A"/>
    <w:rsid w:val="00F24E6E"/>
    <w:rsid w:val="00F336F1"/>
    <w:rsid w:val="00F37403"/>
    <w:rsid w:val="00F449E8"/>
    <w:rsid w:val="00F5040F"/>
    <w:rsid w:val="00F55BB2"/>
    <w:rsid w:val="00F6066B"/>
    <w:rsid w:val="00F612DB"/>
    <w:rsid w:val="00F61338"/>
    <w:rsid w:val="00F6169B"/>
    <w:rsid w:val="00F620C2"/>
    <w:rsid w:val="00F622C7"/>
    <w:rsid w:val="00F70472"/>
    <w:rsid w:val="00F720E1"/>
    <w:rsid w:val="00F75C28"/>
    <w:rsid w:val="00F800BF"/>
    <w:rsid w:val="00F80177"/>
    <w:rsid w:val="00F81A18"/>
    <w:rsid w:val="00F8264D"/>
    <w:rsid w:val="00F86DA7"/>
    <w:rsid w:val="00F903D6"/>
    <w:rsid w:val="00F92A4A"/>
    <w:rsid w:val="00FA0CAC"/>
    <w:rsid w:val="00FA4A7C"/>
    <w:rsid w:val="00FA6B0B"/>
    <w:rsid w:val="00FA7939"/>
    <w:rsid w:val="00FB1E3D"/>
    <w:rsid w:val="00FB20E8"/>
    <w:rsid w:val="00FB3174"/>
    <w:rsid w:val="00FC31EB"/>
    <w:rsid w:val="00FD18AB"/>
    <w:rsid w:val="00FD1932"/>
    <w:rsid w:val="00FD1F51"/>
    <w:rsid w:val="00FD33E8"/>
    <w:rsid w:val="00FD4F53"/>
    <w:rsid w:val="00FF2530"/>
    <w:rsid w:val="00FF34C7"/>
    <w:rsid w:val="00FF445C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paragraph" w:styleId="ad">
    <w:name w:val="annotation text"/>
    <w:basedOn w:val="a"/>
    <w:link w:val="ae"/>
    <w:uiPriority w:val="99"/>
    <w:semiHidden/>
    <w:unhideWhenUsed/>
    <w:rsid w:val="00270E2E"/>
  </w:style>
  <w:style w:type="character" w:customStyle="1" w:styleId="ae">
    <w:name w:val="註解文字 字元"/>
    <w:basedOn w:val="a0"/>
    <w:link w:val="ad"/>
    <w:uiPriority w:val="99"/>
    <w:semiHidden/>
    <w:rsid w:val="00270E2E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rsid w:val="00270E2E"/>
    <w:rPr>
      <w:rFonts w:ascii="Times New Roman" w:hAnsi="Times New Roman"/>
      <w:b/>
      <w:bCs/>
      <w:szCs w:val="24"/>
    </w:rPr>
  </w:style>
  <w:style w:type="character" w:customStyle="1" w:styleId="af0">
    <w:name w:val="註解主旨 字元"/>
    <w:basedOn w:val="ae"/>
    <w:link w:val="af"/>
    <w:rsid w:val="00270E2E"/>
    <w:rPr>
      <w:rFonts w:ascii="Times New Roman" w:hAnsi="Times New Roman"/>
      <w:b/>
      <w:bCs/>
      <w:kern w:val="2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1E1874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1E1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1E187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9868C4"/>
    <w:rPr>
      <w:color w:val="800080" w:themeColor="followedHyperlink"/>
      <w:u w:val="single"/>
    </w:rPr>
  </w:style>
  <w:style w:type="character" w:customStyle="1" w:styleId="st">
    <w:name w:val="st"/>
    <w:basedOn w:val="a0"/>
    <w:rsid w:val="00774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paragraph" w:styleId="ad">
    <w:name w:val="annotation text"/>
    <w:basedOn w:val="a"/>
    <w:link w:val="ae"/>
    <w:uiPriority w:val="99"/>
    <w:semiHidden/>
    <w:unhideWhenUsed/>
    <w:rsid w:val="00270E2E"/>
  </w:style>
  <w:style w:type="character" w:customStyle="1" w:styleId="ae">
    <w:name w:val="註解文字 字元"/>
    <w:basedOn w:val="a0"/>
    <w:link w:val="ad"/>
    <w:uiPriority w:val="99"/>
    <w:semiHidden/>
    <w:rsid w:val="00270E2E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rsid w:val="00270E2E"/>
    <w:rPr>
      <w:rFonts w:ascii="Times New Roman" w:hAnsi="Times New Roman"/>
      <w:b/>
      <w:bCs/>
      <w:szCs w:val="24"/>
    </w:rPr>
  </w:style>
  <w:style w:type="character" w:customStyle="1" w:styleId="af0">
    <w:name w:val="註解主旨 字元"/>
    <w:basedOn w:val="ae"/>
    <w:link w:val="af"/>
    <w:rsid w:val="00270E2E"/>
    <w:rPr>
      <w:rFonts w:ascii="Times New Roman" w:hAnsi="Times New Roman"/>
      <w:b/>
      <w:bCs/>
      <w:kern w:val="2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1E1874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1E1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1E187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9868C4"/>
    <w:rPr>
      <w:color w:val="800080" w:themeColor="followedHyperlink"/>
      <w:u w:val="single"/>
    </w:rPr>
  </w:style>
  <w:style w:type="character" w:customStyle="1" w:styleId="st">
    <w:name w:val="st"/>
    <w:basedOn w:val="a0"/>
    <w:rsid w:val="0077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dr.fda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a.europa.eu/ema/index.jsp?curl=pages/news_and_events/news/2017/02/news_detail_002699.jsp&amp;mid=WC0b01ac058004d5c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8D1F-65B5-47E9-9AFC-FA91ECF9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asuspc</cp:lastModifiedBy>
  <cp:revision>2</cp:revision>
  <cp:lastPrinted>2017-03-16T02:38:00Z</cp:lastPrinted>
  <dcterms:created xsi:type="dcterms:W3CDTF">2017-06-15T07:22:00Z</dcterms:created>
  <dcterms:modified xsi:type="dcterms:W3CDTF">2017-06-15T07:22:00Z</dcterms:modified>
</cp:coreProperties>
</file>